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4C38" w14:textId="77777777" w:rsidR="00987E54" w:rsidRDefault="00987E54" w:rsidP="00987E54">
      <w:pPr>
        <w:shd w:val="clear" w:color="auto" w:fill="FFFFFF"/>
        <w:rPr>
          <w:rFonts w:ascii="Arial" w:hAnsi="Arial" w:cs="Arial"/>
          <w:b/>
          <w:bCs/>
        </w:rPr>
      </w:pPr>
    </w:p>
    <w:p w14:paraId="1C6BBB8A" w14:textId="77777777" w:rsidR="00987E54" w:rsidRPr="000B1272" w:rsidRDefault="00987E54" w:rsidP="00987E54">
      <w:pPr>
        <w:rPr>
          <w:rFonts w:ascii="Arial" w:hAnsi="Arial" w:cs="Arial"/>
        </w:rPr>
      </w:pPr>
    </w:p>
    <w:p w14:paraId="6C0663A3" w14:textId="77777777" w:rsidR="00987E54" w:rsidRDefault="00987E54" w:rsidP="00987E54">
      <w:pPr>
        <w:jc w:val="center"/>
        <w:rPr>
          <w:rFonts w:ascii="David" w:hAnsi="David" w:cs="David"/>
          <w:b/>
          <w:bCs/>
          <w:sz w:val="32"/>
          <w:szCs w:val="32"/>
          <w:u w:val="doub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David" w:hAnsi="David" w:cs="David" w:hint="cs"/>
          <w:b/>
          <w:bCs/>
          <w:sz w:val="32"/>
          <w:szCs w:val="32"/>
          <w:u w:val="doub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Programme de formation </w:t>
      </w:r>
    </w:p>
    <w:p w14:paraId="4C29617F" w14:textId="77777777" w:rsidR="00987E54" w:rsidRDefault="00987E54" w:rsidP="00987E54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David" w:hAnsi="David" w:cs="David" w:hint="cs"/>
          <w:b/>
          <w:bCs/>
          <w:sz w:val="32"/>
          <w:szCs w:val="32"/>
          <w:u w:val="doub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Conforme à </w:t>
      </w:r>
      <w:r>
        <w:rPr>
          <w:rFonts w:ascii="Arial" w:hAnsi="Arial" w:cs="Arial"/>
          <w:color w:val="000000"/>
          <w:shd w:val="clear" w:color="auto" w:fill="FFFFFF"/>
        </w:rPr>
        <w:t>La circulaire DGEFP n° 2006/35 du 14 novembre 2006</w:t>
      </w:r>
    </w:p>
    <w:p w14:paraId="6A8E1396" w14:textId="77777777" w:rsidR="00987E54" w:rsidRDefault="00987E54" w:rsidP="00987E54">
      <w:pPr>
        <w:jc w:val="center"/>
        <w:rPr>
          <w:rFonts w:ascii="David" w:hAnsi="David" w:cs="David"/>
          <w:b/>
          <w:bCs/>
          <w:sz w:val="32"/>
          <w:szCs w:val="32"/>
          <w:u w:val="doub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7924226" w14:textId="77777777" w:rsidR="00987E54" w:rsidRDefault="00987E54" w:rsidP="00987E5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LA VENTE DU LOT DE COPROPRIÉTÉ-REDACTION DE L’ÉTAT DATÉ ET RESPONSABILITÉ DU SYNDIC </w:t>
      </w:r>
    </w:p>
    <w:p w14:paraId="710091C8" w14:textId="77777777" w:rsidR="00987E54" w:rsidRDefault="00987E54" w:rsidP="00987E54">
      <w:pPr>
        <w:jc w:val="center"/>
        <w:rPr>
          <w:b/>
          <w:sz w:val="36"/>
          <w:szCs w:val="36"/>
          <w:u w:val="single"/>
        </w:rPr>
      </w:pPr>
    </w:p>
    <w:tbl>
      <w:tblPr>
        <w:tblW w:w="10148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8"/>
      </w:tblGrid>
      <w:tr w:rsidR="00987E54" w14:paraId="41C671C9" w14:textId="77777777" w:rsidTr="004D0AD2">
        <w:trPr>
          <w:trHeight w:val="3559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7AA" w14:textId="77777777" w:rsidR="00987E54" w:rsidRDefault="00987E54" w:rsidP="004D0AD2">
            <w:pPr>
              <w:ind w:firstLine="567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u w:val="double"/>
              </w:rPr>
              <w:t>Public visé </w:t>
            </w:r>
            <w:r>
              <w:rPr>
                <w:rFonts w:ascii="David" w:hAnsi="David" w:cs="David" w:hint="cs"/>
                <w:b/>
                <w:bCs/>
              </w:rPr>
              <w:t>:</w:t>
            </w:r>
          </w:p>
          <w:p w14:paraId="29924EB7" w14:textId="77777777" w:rsidR="00987E54" w:rsidRDefault="00987E54" w:rsidP="004D0AD2">
            <w:pPr>
              <w:ind w:left="67" w:firstLine="567"/>
              <w:jc w:val="center"/>
              <w:rPr>
                <w:rFonts w:ascii="David" w:eastAsia="Batang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</w:rPr>
              <w:t>- conformément au décret du</w:t>
            </w:r>
            <w:r>
              <w:rPr>
                <w:rFonts w:ascii="David" w:hAnsi="David" w:cs="David" w:hint="cs"/>
                <w:b/>
                <w:bCs/>
                <w:u w:val="double"/>
              </w:rPr>
              <w:t xml:space="preserve"> </w:t>
            </w:r>
            <w:r>
              <w:rPr>
                <w:rFonts w:ascii="David" w:eastAsia="Batang" w:hAnsi="David" w:cs="David" w:hint="cs"/>
                <w:b/>
                <w:bCs/>
              </w:rPr>
              <w:t>19 juin 2015, qui a modifié l’article 80 de la loi HOGUET</w:t>
            </w:r>
          </w:p>
          <w:p w14:paraId="6CE280AB" w14:textId="77777777" w:rsidR="00987E54" w:rsidRDefault="00987E54" w:rsidP="004D0AD2">
            <w:pPr>
              <w:ind w:left="67" w:firstLine="567"/>
              <w:jc w:val="center"/>
              <w:rPr>
                <w:rFonts w:ascii="David" w:eastAsia="Batang" w:hAnsi="David" w:cs="David"/>
                <w:b/>
                <w:bCs/>
              </w:rPr>
            </w:pPr>
            <w:r>
              <w:rPr>
                <w:rStyle w:val="Accentuation"/>
                <w:rFonts w:ascii="Arial" w:hAnsi="Arial" w:cs="Arial"/>
                <w:color w:val="656253"/>
                <w:sz w:val="18"/>
                <w:szCs w:val="18"/>
                <w:shd w:val="clear" w:color="auto" w:fill="FFFFFF"/>
              </w:rPr>
              <w:t xml:space="preserve">Et au décret n° 2016-173 du 18 février 2016 </w:t>
            </w:r>
          </w:p>
          <w:p w14:paraId="486F172F" w14:textId="77777777" w:rsidR="00987E54" w:rsidRDefault="00987E54" w:rsidP="004D0AD2">
            <w:pPr>
              <w:ind w:left="67" w:firstLine="567"/>
              <w:jc w:val="center"/>
              <w:rPr>
                <w:rFonts w:ascii="David" w:eastAsia="Batang" w:hAnsi="David" w:cs="David"/>
                <w:b/>
                <w:bCs/>
              </w:rPr>
            </w:pPr>
            <w:r>
              <w:rPr>
                <w:rFonts w:ascii="David" w:eastAsia="Batang" w:hAnsi="David" w:cs="David" w:hint="cs"/>
                <w:b/>
                <w:bCs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68D931AD" w14:textId="77777777" w:rsidR="00987E54" w:rsidRDefault="00987E54" w:rsidP="004D0AD2">
            <w:pPr>
              <w:ind w:left="67"/>
              <w:jc w:val="center"/>
              <w:rPr>
                <w:rFonts w:ascii="David" w:hAnsi="David" w:cs="David"/>
                <w:b/>
                <w:bCs/>
              </w:rPr>
            </w:pPr>
          </w:p>
          <w:p w14:paraId="6F539E40" w14:textId="77777777" w:rsidR="00987E54" w:rsidRDefault="00987E54" w:rsidP="004D0AD2">
            <w:pPr>
              <w:ind w:left="67" w:firstLine="567"/>
              <w:jc w:val="center"/>
              <w:rPr>
                <w:rFonts w:ascii="David" w:hAnsi="David" w:cs="David"/>
                <w:b/>
                <w:bCs/>
                <w:u w:val="single"/>
              </w:rPr>
            </w:pPr>
            <w:r>
              <w:rPr>
                <w:rFonts w:ascii="David" w:hAnsi="David" w:cs="David" w:hint="cs"/>
                <w:b/>
                <w:bCs/>
                <w:u w:val="single"/>
              </w:rPr>
              <w:t xml:space="preserve">PRE-REQUIS :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connaitre la réglementation de la loi du 10 juillet 1965 </w:t>
            </w:r>
          </w:p>
          <w:p w14:paraId="75EAE65F" w14:textId="77777777" w:rsidR="00987E54" w:rsidRDefault="00987E54" w:rsidP="004D0AD2">
            <w:pPr>
              <w:shd w:val="clear" w:color="auto" w:fill="FFFFFF"/>
              <w:ind w:left="720"/>
              <w:rPr>
                <w:rFonts w:ascii="inherit" w:eastAsia="Times New Roman" w:hAnsi="inherit" w:cs="Times New Roman"/>
                <w:color w:val="222222"/>
                <w:lang w:eastAsia="fr-CA"/>
              </w:rPr>
            </w:pPr>
            <w:r>
              <w:rPr>
                <w:rFonts w:ascii="David" w:hAnsi="David" w:cs="David" w:hint="cs"/>
                <w:b/>
                <w:bCs/>
                <w:u w:val="double"/>
              </w:rPr>
              <w:t>Objectifs :</w:t>
            </w:r>
            <w:r>
              <w:rPr>
                <w:rFonts w:ascii="inherit" w:eastAsia="Times New Roman" w:hAnsi="inherit" w:cs="Times New Roman"/>
                <w:color w:val="222222"/>
                <w:lang w:eastAsia="fr-CA"/>
              </w:rPr>
              <w:t xml:space="preserve"> </w:t>
            </w:r>
          </w:p>
          <w:p w14:paraId="4F94C4B8" w14:textId="77777777" w:rsidR="00987E54" w:rsidRDefault="00987E54" w:rsidP="004D0AD2">
            <w:pPr>
              <w:ind w:left="67" w:firstLine="567"/>
              <w:jc w:val="center"/>
              <w:rPr>
                <w:rFonts w:ascii="David" w:hAnsi="David" w:cs="David"/>
                <w:b/>
                <w:bCs/>
                <w:u w:val="double"/>
              </w:rPr>
            </w:pPr>
          </w:p>
          <w:p w14:paraId="194BAA93" w14:textId="77777777" w:rsidR="00987E54" w:rsidRDefault="00987E54" w:rsidP="00987E54">
            <w:pPr>
              <w:pStyle w:val="Paragraphedeliste"/>
              <w:numPr>
                <w:ilvl w:val="0"/>
                <w:numId w:val="5"/>
              </w:numPr>
              <w:spacing w:after="0" w:line="256" w:lineRule="auto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</w:rPr>
              <w:t xml:space="preserve">Respecter les obligations légales relatives à l’établissement et </w:t>
            </w:r>
            <w:proofErr w:type="spellStart"/>
            <w:r>
              <w:rPr>
                <w:rFonts w:ascii="David" w:hAnsi="David" w:cs="David" w:hint="cs"/>
                <w:b/>
                <w:bCs/>
              </w:rPr>
              <w:t>a</w:t>
            </w:r>
            <w:proofErr w:type="spellEnd"/>
            <w:r>
              <w:rPr>
                <w:rFonts w:ascii="David" w:hAnsi="David" w:cs="David" w:hint="cs"/>
                <w:b/>
                <w:bCs/>
              </w:rPr>
              <w:t xml:space="preserve"> la délivrance de ces documents </w:t>
            </w:r>
          </w:p>
          <w:p w14:paraId="06DB9A2E" w14:textId="77777777" w:rsidR="00987E54" w:rsidRDefault="00987E54" w:rsidP="00987E54">
            <w:pPr>
              <w:pStyle w:val="Paragraphedeliste"/>
              <w:numPr>
                <w:ilvl w:val="0"/>
                <w:numId w:val="5"/>
              </w:numPr>
              <w:spacing w:after="0" w:line="256" w:lineRule="auto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</w:rPr>
              <w:t>Prévenir les risques de contentieux</w:t>
            </w:r>
          </w:p>
          <w:p w14:paraId="31B682D8" w14:textId="77777777" w:rsidR="00987E54" w:rsidRPr="006742FA" w:rsidRDefault="00987E54" w:rsidP="004D0A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rFonts w:ascii="David" w:eastAsia="Batang" w:hAnsi="David" w:cs="David" w:hint="cs"/>
                <w:b/>
                <w:bCs/>
                <w:u w:val="single"/>
              </w:rPr>
              <w:t>Durée </w:t>
            </w:r>
            <w:r>
              <w:rPr>
                <w:rFonts w:ascii="David" w:eastAsia="Batang" w:hAnsi="David" w:cs="David" w:hint="cs"/>
              </w:rPr>
              <w:t xml:space="preserve">: 7 </w:t>
            </w:r>
            <w:r>
              <w:rPr>
                <w:rFonts w:ascii="David" w:eastAsia="Batang" w:hAnsi="David" w:cs="David" w:hint="cs"/>
                <w:sz w:val="28"/>
                <w:szCs w:val="28"/>
              </w:rPr>
              <w:t>heures</w:t>
            </w:r>
          </w:p>
        </w:tc>
      </w:tr>
    </w:tbl>
    <w:p w14:paraId="7507F346" w14:textId="77777777" w:rsidR="00987E54" w:rsidRDefault="00987E54" w:rsidP="00987E54">
      <w:pPr>
        <w:jc w:val="center"/>
        <w:rPr>
          <w:rFonts w:ascii="David" w:hAnsi="David" w:cs="David"/>
          <w:b/>
          <w:bCs/>
          <w:u w:val="double"/>
        </w:rPr>
      </w:pPr>
    </w:p>
    <w:p w14:paraId="4D0CBAAB" w14:textId="77777777" w:rsidR="00987E54" w:rsidRDefault="00987E54" w:rsidP="00987E54">
      <w:pPr>
        <w:jc w:val="center"/>
        <w:rPr>
          <w:rFonts w:ascii="David" w:hAnsi="David" w:cs="David"/>
          <w:b/>
          <w:bCs/>
          <w:u w:val="double"/>
        </w:rPr>
      </w:pPr>
    </w:p>
    <w:p w14:paraId="7C61FDDF" w14:textId="77777777" w:rsidR="00987E54" w:rsidRDefault="00987E54" w:rsidP="00987E54">
      <w:pPr>
        <w:jc w:val="center"/>
        <w:rPr>
          <w:rFonts w:ascii="David" w:hAnsi="David" w:cs="David"/>
          <w:b/>
          <w:bCs/>
          <w:u w:val="double"/>
        </w:rPr>
      </w:pPr>
      <w:r>
        <w:rPr>
          <w:rFonts w:ascii="David" w:hAnsi="David" w:cs="David" w:hint="cs"/>
          <w:b/>
          <w:bCs/>
          <w:u w:val="double"/>
        </w:rPr>
        <w:t>PROGRAMME détaillé et séquencé</w:t>
      </w:r>
    </w:p>
    <w:p w14:paraId="5655465A" w14:textId="77777777" w:rsidR="00987E54" w:rsidRDefault="00987E54" w:rsidP="00987E54">
      <w:pPr>
        <w:ind w:firstLine="567"/>
        <w:jc w:val="center"/>
        <w:rPr>
          <w:rFonts w:ascii="David" w:hAnsi="David" w:cs="David"/>
          <w:b/>
          <w:bCs/>
          <w:u w:val="double"/>
        </w:rPr>
      </w:pPr>
      <w:r>
        <w:rPr>
          <w:rFonts w:ascii="David" w:hAnsi="David" w:cs="David" w:hint="cs"/>
          <w:b/>
          <w:bCs/>
          <w:u w:val="double"/>
        </w:rPr>
        <w:t>1</w:t>
      </w:r>
      <w:r>
        <w:rPr>
          <w:rFonts w:ascii="David" w:hAnsi="David" w:cs="David" w:hint="cs"/>
          <w:b/>
          <w:bCs/>
          <w:u w:val="double"/>
          <w:vertAlign w:val="superscript"/>
        </w:rPr>
        <w:t>ère</w:t>
      </w:r>
      <w:r>
        <w:rPr>
          <w:rFonts w:ascii="David" w:hAnsi="David" w:cs="David" w:hint="cs"/>
          <w:b/>
          <w:bCs/>
          <w:u w:val="double"/>
        </w:rPr>
        <w:t xml:space="preserve"> partie : le Matin </w:t>
      </w:r>
    </w:p>
    <w:p w14:paraId="2078CBBB" w14:textId="77777777" w:rsidR="00987E54" w:rsidRPr="00187906" w:rsidRDefault="00987E54" w:rsidP="00987E54">
      <w:pPr>
        <w:pStyle w:val="Paragraphedeliste"/>
        <w:numPr>
          <w:ilvl w:val="0"/>
          <w:numId w:val="8"/>
        </w:numPr>
        <w:spacing w:line="256" w:lineRule="auto"/>
        <w:jc w:val="center"/>
        <w:rPr>
          <w:b/>
        </w:rPr>
      </w:pPr>
      <w:r w:rsidRPr="00187906">
        <w:rPr>
          <w:b/>
        </w:rPr>
        <w:t xml:space="preserve">LE CADRE JURIDIQUE Les textes de référence Les articles applicables </w:t>
      </w:r>
    </w:p>
    <w:p w14:paraId="552C8106" w14:textId="77777777" w:rsidR="00987E54" w:rsidRDefault="00987E54" w:rsidP="00987E54">
      <w:pPr>
        <w:pStyle w:val="Paragraphedeliste"/>
        <w:rPr>
          <w:b/>
        </w:rPr>
      </w:pPr>
      <w:r>
        <w:rPr>
          <w:b/>
        </w:rPr>
        <w:t xml:space="preserve">Rappel de la loi Alur </w:t>
      </w:r>
    </w:p>
    <w:p w14:paraId="275EB6F2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  <w:rPr>
          <w:b/>
        </w:rPr>
      </w:pPr>
      <w:r>
        <w:rPr>
          <w:b/>
        </w:rPr>
        <w:t>Les avant contrats</w:t>
      </w:r>
    </w:p>
    <w:p w14:paraId="779D2DBD" w14:textId="77777777" w:rsidR="00987E54" w:rsidRPr="00187906" w:rsidRDefault="00987E54" w:rsidP="00987E54">
      <w:pPr>
        <w:pStyle w:val="Paragraphedeliste"/>
        <w:numPr>
          <w:ilvl w:val="0"/>
          <w:numId w:val="6"/>
        </w:numPr>
        <w:spacing w:line="256" w:lineRule="auto"/>
        <w:rPr>
          <w:b/>
        </w:rPr>
      </w:pPr>
      <w:r w:rsidRPr="00187906">
        <w:rPr>
          <w:b/>
        </w:rPr>
        <w:t xml:space="preserve">Les ventes  </w:t>
      </w:r>
    </w:p>
    <w:p w14:paraId="63F0A4F8" w14:textId="77777777" w:rsidR="00987E54" w:rsidRDefault="00987E54" w:rsidP="00987E54">
      <w:pPr>
        <w:ind w:left="1134"/>
      </w:pPr>
      <w:r>
        <w:t>2</w:t>
      </w:r>
      <w:r>
        <w:rPr>
          <w:b/>
        </w:rPr>
        <w:t>. LES SOMMES DUES PAR LE COPROPRIETAIRE CEDANT</w:t>
      </w:r>
      <w:r>
        <w:t xml:space="preserve"> </w:t>
      </w:r>
    </w:p>
    <w:p w14:paraId="21F59AEF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lastRenderedPageBreak/>
        <w:t xml:space="preserve">Les provisions exigibles </w:t>
      </w:r>
    </w:p>
    <w:p w14:paraId="66457852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provisions du budget prévisionnel </w:t>
      </w:r>
    </w:p>
    <w:p w14:paraId="1225D628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provisions hors budget prévisionnel </w:t>
      </w:r>
    </w:p>
    <w:p w14:paraId="50957361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charges impayées sur les exercices antérieurs </w:t>
      </w:r>
    </w:p>
    <w:p w14:paraId="10782895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sommes devenues exigibles du fait de la vente </w:t>
      </w:r>
    </w:p>
    <w:p w14:paraId="6CB99586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provisions sur budget prévisionnel rendues exigibles par l’article 33 de la loi de 1965 - Les avances exigibles L’avance constituant la réserve de trésorerie </w:t>
      </w:r>
    </w:p>
    <w:p w14:paraId="26AA14C4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L’avance nommée provision spéciale </w:t>
      </w:r>
    </w:p>
    <w:p w14:paraId="65EB6A02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L’avance représentant un emprunt </w:t>
      </w:r>
    </w:p>
    <w:p w14:paraId="134EC185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autres sommes exigibles </w:t>
      </w:r>
    </w:p>
    <w:p w14:paraId="4F62C948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condamnations Les prêts… </w:t>
      </w:r>
    </w:p>
    <w:p w14:paraId="1BD0B151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Les honoraires du syndic pour l’établissement des présents documents </w:t>
      </w:r>
    </w:p>
    <w:p w14:paraId="302F21F4" w14:textId="77777777" w:rsidR="00987E54" w:rsidRDefault="00987E54" w:rsidP="00987E54">
      <w:pPr>
        <w:pStyle w:val="Paragraphedeliste"/>
      </w:pPr>
    </w:p>
    <w:p w14:paraId="1B3669F4" w14:textId="77777777" w:rsidR="00987E54" w:rsidRDefault="00987E54" w:rsidP="00987E54">
      <w:pPr>
        <w:ind w:firstLine="567"/>
        <w:jc w:val="center"/>
        <w:rPr>
          <w:rFonts w:ascii="David" w:hAnsi="David" w:cs="David"/>
          <w:b/>
          <w:bCs/>
          <w:u w:val="double"/>
        </w:rPr>
      </w:pPr>
      <w:r>
        <w:rPr>
          <w:rFonts w:ascii="David" w:hAnsi="David" w:cs="David" w:hint="cs"/>
          <w:b/>
          <w:bCs/>
          <w:u w:val="double"/>
        </w:rPr>
        <w:t>2</w:t>
      </w:r>
      <w:proofErr w:type="gramStart"/>
      <w:r>
        <w:rPr>
          <w:rFonts w:ascii="David" w:hAnsi="David" w:cs="David" w:hint="cs"/>
          <w:b/>
          <w:bCs/>
          <w:u w:val="double"/>
        </w:rPr>
        <w:t>ème  partie</w:t>
      </w:r>
      <w:proofErr w:type="gramEnd"/>
      <w:r>
        <w:rPr>
          <w:rFonts w:ascii="David" w:hAnsi="David" w:cs="David" w:hint="cs"/>
          <w:b/>
          <w:bCs/>
          <w:u w:val="double"/>
        </w:rPr>
        <w:t xml:space="preserve"> : </w:t>
      </w:r>
      <w:proofErr w:type="gramStart"/>
      <w:r>
        <w:rPr>
          <w:rFonts w:ascii="David" w:hAnsi="David" w:cs="David" w:hint="cs"/>
          <w:b/>
          <w:bCs/>
          <w:u w:val="double"/>
        </w:rPr>
        <w:t>l’ après</w:t>
      </w:r>
      <w:proofErr w:type="gramEnd"/>
      <w:r>
        <w:rPr>
          <w:rFonts w:ascii="David" w:hAnsi="David" w:cs="David" w:hint="cs"/>
          <w:b/>
          <w:bCs/>
          <w:u w:val="double"/>
        </w:rPr>
        <w:t xml:space="preserve">-midi </w:t>
      </w:r>
    </w:p>
    <w:p w14:paraId="118B8717" w14:textId="77777777" w:rsidR="00987E54" w:rsidRDefault="00987E54" w:rsidP="00987E54">
      <w:pPr>
        <w:ind w:left="1134"/>
        <w:rPr>
          <w:b/>
        </w:rPr>
      </w:pPr>
      <w:r>
        <w:rPr>
          <w:b/>
        </w:rPr>
        <w:t xml:space="preserve">3. LES SOMMES DUES PAR LE SYNDICAT AU COPROPRIETAIRE CEDANT </w:t>
      </w:r>
    </w:p>
    <w:p w14:paraId="30CA41D7" w14:textId="77777777" w:rsidR="00987E54" w:rsidRDefault="00987E54" w:rsidP="00987E54">
      <w:pPr>
        <w:pStyle w:val="Paragraphedeliste"/>
      </w:pPr>
      <w:r>
        <w:t xml:space="preserve">- Les avances </w:t>
      </w:r>
    </w:p>
    <w:p w14:paraId="5A4CAFB1" w14:textId="77777777" w:rsidR="00987E54" w:rsidRDefault="00987E54" w:rsidP="00987E54">
      <w:pPr>
        <w:pStyle w:val="Paragraphedeliste"/>
      </w:pPr>
      <w:r>
        <w:t xml:space="preserve">- L’avance constituant la réserve de trésorerie </w:t>
      </w:r>
    </w:p>
    <w:p w14:paraId="4AFD0A4B" w14:textId="77777777" w:rsidR="00987E54" w:rsidRDefault="00987E54" w:rsidP="00987E54">
      <w:pPr>
        <w:pStyle w:val="Paragraphedeliste"/>
      </w:pPr>
      <w:r>
        <w:t xml:space="preserve">- L’avance nommée provision spéciale </w:t>
      </w:r>
    </w:p>
    <w:p w14:paraId="6880B5C9" w14:textId="77777777" w:rsidR="00987E54" w:rsidRDefault="00987E54" w:rsidP="00987E54">
      <w:pPr>
        <w:pStyle w:val="Paragraphedeliste"/>
      </w:pPr>
      <w:r>
        <w:t xml:space="preserve">- Les provisions Les provisions encaissées sur budget prévisionnel rendues exigibles par l’application de l’article 33 de la loi de 1965 </w:t>
      </w:r>
    </w:p>
    <w:p w14:paraId="2CCAD85B" w14:textId="77777777" w:rsidR="00987E54" w:rsidRDefault="00987E54" w:rsidP="00987E54">
      <w:pPr>
        <w:pStyle w:val="Paragraphedeliste"/>
      </w:pPr>
      <w:r>
        <w:t xml:space="preserve">- Le solde créditeur sur l’exercice antérieur </w:t>
      </w:r>
    </w:p>
    <w:p w14:paraId="7CDAE9F4" w14:textId="77777777" w:rsidR="00987E54" w:rsidRDefault="00987E54" w:rsidP="00987E54">
      <w:pPr>
        <w:pStyle w:val="Paragraphedeliste"/>
      </w:pPr>
    </w:p>
    <w:p w14:paraId="754E401B" w14:textId="77777777" w:rsidR="00987E54" w:rsidRDefault="00987E54" w:rsidP="00987E54">
      <w:pPr>
        <w:pStyle w:val="Paragraphedeliste"/>
        <w:ind w:left="1134"/>
      </w:pPr>
      <w:r>
        <w:t>4</w:t>
      </w:r>
      <w:r>
        <w:rPr>
          <w:b/>
        </w:rPr>
        <w:t>. LES SOMMES INCOMBANT AU NOUVEAU PROPRIETAIRE</w:t>
      </w:r>
      <w:r>
        <w:t xml:space="preserve"> </w:t>
      </w:r>
    </w:p>
    <w:p w14:paraId="55FE3F6C" w14:textId="77777777" w:rsidR="00987E54" w:rsidRDefault="00987E54" w:rsidP="00987E54">
      <w:pPr>
        <w:pStyle w:val="Paragraphedeliste"/>
      </w:pPr>
      <w:r>
        <w:t xml:space="preserve">- Les avances à reconstituer </w:t>
      </w:r>
    </w:p>
    <w:p w14:paraId="15D3F691" w14:textId="77777777" w:rsidR="00987E54" w:rsidRDefault="00987E54" w:rsidP="00987E54">
      <w:pPr>
        <w:pStyle w:val="Paragraphedeliste"/>
      </w:pPr>
      <w:r>
        <w:t xml:space="preserve">- Les provisions non encore exigibles </w:t>
      </w:r>
    </w:p>
    <w:p w14:paraId="7FA6D477" w14:textId="77777777" w:rsidR="00987E54" w:rsidRDefault="00987E54" w:rsidP="00987E54">
      <w:pPr>
        <w:pStyle w:val="Paragraphedeliste"/>
      </w:pPr>
    </w:p>
    <w:p w14:paraId="3E31D77C" w14:textId="77777777" w:rsidR="00987E54" w:rsidRDefault="00987E54" w:rsidP="00987E54">
      <w:pPr>
        <w:pStyle w:val="Paragraphedeliste"/>
        <w:ind w:left="1134"/>
        <w:rPr>
          <w:b/>
        </w:rPr>
      </w:pPr>
      <w:r>
        <w:rPr>
          <w:b/>
        </w:rPr>
        <w:t xml:space="preserve">5. LES INFORMATIONS SUPPLEMENTAIRES RESULTANT DE LA LOI ALUR </w:t>
      </w:r>
    </w:p>
    <w:p w14:paraId="19248C70" w14:textId="77777777" w:rsidR="00987E54" w:rsidRDefault="00987E54" w:rsidP="00987E54">
      <w:pPr>
        <w:pStyle w:val="Paragraphedeliste"/>
      </w:pPr>
      <w:r>
        <w:t xml:space="preserve">- Le montant des charges courantes et hors budget prévisionnel payées par le vendeur au titre des deux derniers exercices </w:t>
      </w:r>
    </w:p>
    <w:p w14:paraId="2A2C56BE" w14:textId="77777777" w:rsidR="00987E54" w:rsidRDefault="00987E54" w:rsidP="00987E54">
      <w:pPr>
        <w:pStyle w:val="Paragraphedeliste"/>
      </w:pPr>
      <w:r>
        <w:t xml:space="preserve">- Les sommes pouvant rester dues par le vendeur au syndicat </w:t>
      </w:r>
    </w:p>
    <w:p w14:paraId="02087764" w14:textId="77777777" w:rsidR="00987E54" w:rsidRDefault="00987E54" w:rsidP="00987E54">
      <w:pPr>
        <w:pStyle w:val="Paragraphedeliste"/>
      </w:pPr>
      <w:r>
        <w:t xml:space="preserve">- L’état global des impayés de charges au sein du syndicat </w:t>
      </w:r>
    </w:p>
    <w:p w14:paraId="19D8EBEE" w14:textId="77777777" w:rsidR="00987E54" w:rsidRDefault="00987E54" w:rsidP="00987E54">
      <w:pPr>
        <w:pStyle w:val="Paragraphedeliste"/>
      </w:pPr>
      <w:r>
        <w:t>- L’état global de la dette du syndicat vis-à-vis des fournisseurs</w:t>
      </w:r>
    </w:p>
    <w:p w14:paraId="31DFD092" w14:textId="77777777" w:rsidR="00987E54" w:rsidRDefault="00987E54" w:rsidP="00987E54">
      <w:pPr>
        <w:pStyle w:val="Paragraphedeliste"/>
      </w:pPr>
    </w:p>
    <w:p w14:paraId="725149FA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L’opposition du SYNDICAT </w:t>
      </w:r>
    </w:p>
    <w:p w14:paraId="338FECF7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La notification de l’avis de mutation </w:t>
      </w:r>
    </w:p>
    <w:p w14:paraId="33827DFF" w14:textId="77777777" w:rsidR="00987E54" w:rsidRDefault="00987E54" w:rsidP="00987E54">
      <w:pPr>
        <w:pStyle w:val="Paragraphedeliste"/>
        <w:numPr>
          <w:ilvl w:val="0"/>
          <w:numId w:val="6"/>
        </w:numPr>
        <w:spacing w:line="256" w:lineRule="auto"/>
      </w:pPr>
      <w:r>
        <w:t xml:space="preserve">L’Article 20 </w:t>
      </w:r>
    </w:p>
    <w:p w14:paraId="3028774E" w14:textId="77777777" w:rsidR="00987E54" w:rsidRDefault="00987E54" w:rsidP="00987E54">
      <w:pPr>
        <w:pStyle w:val="Paragraphedeliste"/>
      </w:pPr>
    </w:p>
    <w:p w14:paraId="1B75B2BF" w14:textId="77777777" w:rsidR="00987E54" w:rsidRDefault="00987E54" w:rsidP="00987E54">
      <w:pPr>
        <w:pStyle w:val="Paragraphedeliste"/>
      </w:pPr>
    </w:p>
    <w:p w14:paraId="165A9806" w14:textId="77777777" w:rsidR="003A4335" w:rsidRDefault="003A4335" w:rsidP="00987E54">
      <w:pPr>
        <w:pStyle w:val="Paragraphedeliste"/>
      </w:pPr>
    </w:p>
    <w:p w14:paraId="2C8135C8" w14:textId="77777777" w:rsidR="003A4335" w:rsidRDefault="003A4335" w:rsidP="00987E54">
      <w:pPr>
        <w:pStyle w:val="Paragraphedeliste"/>
      </w:pPr>
    </w:p>
    <w:p w14:paraId="333D3A07" w14:textId="77777777" w:rsidR="003A4335" w:rsidRDefault="003A4335" w:rsidP="00987E54">
      <w:pPr>
        <w:pStyle w:val="Paragraphedeliste"/>
      </w:pPr>
    </w:p>
    <w:p w14:paraId="33D49D6A" w14:textId="77777777" w:rsidR="003A4335" w:rsidRDefault="003A4335" w:rsidP="00987E54">
      <w:pPr>
        <w:pStyle w:val="Paragraphedeliste"/>
      </w:pPr>
    </w:p>
    <w:p w14:paraId="0D5700D6" w14:textId="77777777" w:rsidR="00987E54" w:rsidRDefault="00987E54" w:rsidP="00987E54">
      <w:pPr>
        <w:pStyle w:val="Paragraphedeliste"/>
      </w:pPr>
    </w:p>
    <w:p w14:paraId="5DC7D51A" w14:textId="77777777" w:rsidR="00987E54" w:rsidRDefault="00987E54" w:rsidP="00987E54">
      <w:pPr>
        <w:ind w:firstLine="567"/>
        <w:jc w:val="center"/>
        <w:rPr>
          <w:rFonts w:ascii="David" w:hAnsi="David" w:cs="David"/>
          <w:b/>
          <w:bCs/>
          <w:u w:val="double"/>
        </w:rPr>
      </w:pPr>
      <w:r>
        <w:rPr>
          <w:rFonts w:ascii="David" w:hAnsi="David" w:cs="David" w:hint="cs"/>
          <w:b/>
          <w:bCs/>
          <w:u w:val="double"/>
        </w:rPr>
        <w:t>METHODOLOGIE</w:t>
      </w:r>
    </w:p>
    <w:p w14:paraId="56472B99" w14:textId="77777777" w:rsidR="00987E54" w:rsidRDefault="00987E54" w:rsidP="00987E54">
      <w:pPr>
        <w:ind w:firstLine="567"/>
        <w:jc w:val="center"/>
        <w:rPr>
          <w:rFonts w:ascii="David" w:hAnsi="David" w:cs="David"/>
          <w:b/>
          <w:bCs/>
          <w:u w:val="double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</w:t>
      </w:r>
      <w:proofErr w:type="gramEnd"/>
      <w:r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 xml:space="preserve"> moyens pédagogiques, techniques et d’encadrement ;</w:t>
      </w:r>
    </w:p>
    <w:p w14:paraId="03606EAB" w14:textId="77777777" w:rsidR="00987E54" w:rsidRDefault="00987E54" w:rsidP="00987E54">
      <w:pPr>
        <w:numPr>
          <w:ilvl w:val="0"/>
          <w:numId w:val="7"/>
        </w:numPr>
        <w:spacing w:after="0" w:line="240" w:lineRule="auto"/>
        <w:ind w:left="709" w:hanging="769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 xml:space="preserve">Analyse et utilisation des </w:t>
      </w:r>
      <w:r>
        <w:rPr>
          <w:rFonts w:ascii="Arial" w:eastAsia="Times New Roman" w:hAnsi="Arial" w:cs="Arial"/>
          <w:color w:val="656253"/>
          <w:sz w:val="18"/>
          <w:szCs w:val="18"/>
          <w:lang w:eastAsia="fr-CA"/>
        </w:rPr>
        <w:t xml:space="preserve">états datés  </w:t>
      </w:r>
    </w:p>
    <w:p w14:paraId="258240AF" w14:textId="77777777" w:rsidR="00987E54" w:rsidRDefault="00987E54" w:rsidP="00987E54">
      <w:pPr>
        <w:pStyle w:val="Paragraphedeliste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>Jurisprudences récentes et exemples concrets – cas pratiques –</w:t>
      </w:r>
    </w:p>
    <w:p w14:paraId="10F833A6" w14:textId="77777777" w:rsidR="00987E54" w:rsidRDefault="00987E54" w:rsidP="00987E54">
      <w:pPr>
        <w:pStyle w:val="Paragraphedeliste"/>
        <w:shd w:val="clear" w:color="auto" w:fill="FFFFFF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>Évaluations orales des participants</w:t>
      </w:r>
    </w:p>
    <w:p w14:paraId="1CE21204" w14:textId="77777777" w:rsidR="00987E54" w:rsidRDefault="00987E54" w:rsidP="00987E54">
      <w:pPr>
        <w:pStyle w:val="Paragraphedeliste"/>
        <w:shd w:val="clear" w:color="auto" w:fill="FFFFFF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 xml:space="preserve">Vérification du respect des obligations légales </w:t>
      </w:r>
      <w:r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 modalités de suivi de l’exécution du programme et d'appréciation des résultats</w:t>
      </w:r>
    </w:p>
    <w:p w14:paraId="27D9EB76" w14:textId="77777777" w:rsidR="00987E54" w:rsidRDefault="00987E54" w:rsidP="00987E54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 xml:space="preserve">Signatures des feuilles de présence </w:t>
      </w:r>
    </w:p>
    <w:p w14:paraId="6E2AD6B2" w14:textId="77777777" w:rsidR="00987E54" w:rsidRDefault="00987E54" w:rsidP="00987E54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 xml:space="preserve">Évaluation de la formation au moyen de la feuille d’évaluation et notation </w:t>
      </w:r>
    </w:p>
    <w:p w14:paraId="7C7B59C8" w14:textId="77777777" w:rsidR="00987E54" w:rsidRDefault="00987E54" w:rsidP="00987E54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</w:rPr>
        <w:t>- signatures des attestations de formation</w:t>
      </w:r>
    </w:p>
    <w:p w14:paraId="233035E2" w14:textId="77777777" w:rsidR="00987E54" w:rsidRDefault="00987E54" w:rsidP="00987E54">
      <w:pPr>
        <w:rPr>
          <w:rFonts w:ascii="Arial" w:hAnsi="Arial" w:cs="Arial"/>
        </w:rPr>
      </w:pPr>
    </w:p>
    <w:p w14:paraId="0B8FEC0E" w14:textId="77777777" w:rsidR="00987E54" w:rsidRDefault="00987E54" w:rsidP="00987E54">
      <w:pPr>
        <w:rPr>
          <w:rFonts w:ascii="Arial" w:hAnsi="Arial" w:cs="Arial"/>
        </w:rPr>
      </w:pPr>
    </w:p>
    <w:p w14:paraId="1719399C" w14:textId="77777777" w:rsidR="007B044E" w:rsidRPr="0059168B" w:rsidRDefault="007B044E" w:rsidP="0059168B"/>
    <w:sectPr w:rsidR="007B044E" w:rsidRPr="0059168B" w:rsidSect="0059168B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A269" w14:textId="77777777" w:rsidR="00B206AC" w:rsidRDefault="00B206AC">
      <w:pPr>
        <w:spacing w:after="0" w:line="240" w:lineRule="auto"/>
      </w:pPr>
      <w:r>
        <w:separator/>
      </w:r>
    </w:p>
  </w:endnote>
  <w:endnote w:type="continuationSeparator" w:id="0">
    <w:p w14:paraId="1E0AA8E3" w14:textId="77777777" w:rsidR="00B206AC" w:rsidRDefault="00B2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996" w14:textId="77777777" w:rsidR="007C32DF" w:rsidRPr="004563D2" w:rsidRDefault="0090392F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D1707F4" w14:textId="6D4F35EB" w:rsidR="007C32DF" w:rsidRPr="004563D2" w:rsidRDefault="0090392F" w:rsidP="005416D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 w:rsidR="005416D4" w:rsidRPr="005416D4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5416D4" w:rsidRPr="005416D4">
      <w:rPr>
        <w:rFonts w:ascii="Times New Roman" w:hAnsi="Times New Roman" w:cs="Times New Roman"/>
        <w:sz w:val="16"/>
        <w:szCs w:val="16"/>
        <w:u w:val="single"/>
        <w:lang w:eastAsia="fr-FR"/>
      </w:rPr>
      <w:tab/>
    </w:r>
    <w:proofErr w:type="gramStart"/>
    <w:r w:rsidR="005416D4" w:rsidRPr="005416D4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93061116506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</w:t>
    </w:r>
    <w:proofErr w:type="gramEnd"/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du préfet de la région Provence Alpes Côte d’Azur</w:t>
    </w:r>
  </w:p>
  <w:p w14:paraId="4798C18E" w14:textId="77777777" w:rsidR="007C32DF" w:rsidRDefault="007C32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1163" w14:textId="77777777" w:rsidR="00B206AC" w:rsidRDefault="00B206AC">
      <w:pPr>
        <w:spacing w:after="0" w:line="240" w:lineRule="auto"/>
      </w:pPr>
      <w:r>
        <w:separator/>
      </w:r>
    </w:p>
  </w:footnote>
  <w:footnote w:type="continuationSeparator" w:id="0">
    <w:p w14:paraId="238CD56A" w14:textId="77777777" w:rsidR="00B206AC" w:rsidRDefault="00B2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A0B0" w14:textId="49C5610A" w:rsidR="007C32DF" w:rsidRPr="00866416" w:rsidRDefault="0090392F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9D7647D" w14:textId="77777777" w:rsidR="007C32DF" w:rsidRPr="00866416" w:rsidRDefault="0090392F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573711EF" w14:textId="77777777" w:rsidR="007C32DF" w:rsidRPr="00E743B9" w:rsidRDefault="0090392F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76B7E7D8" w14:textId="77777777" w:rsidR="007C32DF" w:rsidRPr="004563D2" w:rsidRDefault="0090392F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08464A80" w14:textId="77777777" w:rsidR="007C32DF" w:rsidRDefault="007C32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F665F"/>
    <w:multiLevelType w:val="hybridMultilevel"/>
    <w:tmpl w:val="766EBF06"/>
    <w:lvl w:ilvl="0" w:tplc="550E60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919A0"/>
    <w:multiLevelType w:val="multilevel"/>
    <w:tmpl w:val="7478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22C17"/>
    <w:multiLevelType w:val="hybridMultilevel"/>
    <w:tmpl w:val="298EA1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40944"/>
    <w:multiLevelType w:val="hybridMultilevel"/>
    <w:tmpl w:val="3F4808F2"/>
    <w:lvl w:ilvl="0" w:tplc="0C0C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 w15:restartNumberingAfterBreak="0">
    <w:nsid w:val="648D3C4F"/>
    <w:multiLevelType w:val="multilevel"/>
    <w:tmpl w:val="D2B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14753">
    <w:abstractNumId w:val="5"/>
  </w:num>
  <w:num w:numId="2" w16cid:durableId="471869608">
    <w:abstractNumId w:val="1"/>
  </w:num>
  <w:num w:numId="3" w16cid:durableId="2051690044">
    <w:abstractNumId w:val="0"/>
  </w:num>
  <w:num w:numId="4" w16cid:durableId="519315657">
    <w:abstractNumId w:val="7"/>
  </w:num>
  <w:num w:numId="5" w16cid:durableId="1651783786">
    <w:abstractNumId w:val="6"/>
  </w:num>
  <w:num w:numId="6" w16cid:durableId="649554605">
    <w:abstractNumId w:val="2"/>
  </w:num>
  <w:num w:numId="7" w16cid:durableId="1298534666">
    <w:abstractNumId w:val="3"/>
  </w:num>
  <w:num w:numId="8" w16cid:durableId="51268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B"/>
    <w:rsid w:val="00113008"/>
    <w:rsid w:val="00326B64"/>
    <w:rsid w:val="003A4335"/>
    <w:rsid w:val="00421985"/>
    <w:rsid w:val="005416D4"/>
    <w:rsid w:val="0059168B"/>
    <w:rsid w:val="005D181E"/>
    <w:rsid w:val="007B044E"/>
    <w:rsid w:val="007C32DF"/>
    <w:rsid w:val="0090392F"/>
    <w:rsid w:val="00987E54"/>
    <w:rsid w:val="00B206AC"/>
    <w:rsid w:val="00E9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5"/>
  <w15:chartTrackingRefBased/>
  <w15:docId w15:val="{E7E1631A-8713-4D8D-94B8-A847127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B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68B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5916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8B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8B"/>
    <w:rPr>
      <w:kern w:val="0"/>
      <w:lang w:val="fr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4</cp:revision>
  <cp:lastPrinted>2026-03-17T10:05:00Z</cp:lastPrinted>
  <dcterms:created xsi:type="dcterms:W3CDTF">2025-06-17T06:14:00Z</dcterms:created>
  <dcterms:modified xsi:type="dcterms:W3CDTF">2026-04-01T09:43:00Z</dcterms:modified>
</cp:coreProperties>
</file>