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4680D" w14:textId="77777777" w:rsidR="00722149" w:rsidRDefault="00722149" w:rsidP="00722149"/>
    <w:p w14:paraId="72F8875F" w14:textId="77777777" w:rsidR="00722149" w:rsidRPr="00105408" w:rsidRDefault="00722149" w:rsidP="00722149"/>
    <w:tbl>
      <w:tblPr>
        <w:tblW w:w="11203" w:type="dxa"/>
        <w:tblInd w:w="-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03"/>
      </w:tblGrid>
      <w:tr w:rsidR="00722149" w:rsidRPr="00007C41" w14:paraId="29044B40" w14:textId="77777777" w:rsidTr="00722149">
        <w:trPr>
          <w:trHeight w:val="851"/>
        </w:trPr>
        <w:tc>
          <w:tcPr>
            <w:tcW w:w="11203" w:type="dxa"/>
          </w:tcPr>
          <w:p w14:paraId="436E40BF" w14:textId="77777777" w:rsidR="00722149" w:rsidRDefault="00722149" w:rsidP="004D0AD2">
            <w:pPr>
              <w:jc w:val="center"/>
              <w:rPr>
                <w:rFonts w:ascii="David" w:hAnsi="David" w:cs="David"/>
                <w:b/>
                <w:bCs/>
                <w:sz w:val="32"/>
                <w:szCs w:val="32"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3EEF">
              <w:rPr>
                <w:rFonts w:ascii="David" w:hAnsi="David" w:cs="David"/>
                <w:b/>
                <w:bCs/>
                <w:sz w:val="32"/>
                <w:szCs w:val="32"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Programme de formation </w:t>
            </w:r>
          </w:p>
          <w:p w14:paraId="77B6B554" w14:textId="77777777" w:rsidR="00722149" w:rsidRDefault="00722149" w:rsidP="004D0AD2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05408">
              <w:rPr>
                <w:rFonts w:ascii="David" w:hAnsi="David" w:cs="David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Conforme à </w:t>
            </w:r>
            <w:r w:rsidRPr="00105408">
              <w:rPr>
                <w:rFonts w:ascii="Arial" w:hAnsi="Arial" w:cs="Arial"/>
                <w:color w:val="000000"/>
                <w:shd w:val="clear" w:color="auto" w:fill="FFFFFF"/>
              </w:rPr>
              <w:t>La circulaire DGEFP n° 2006/35 du 14 novembre 2006</w:t>
            </w:r>
          </w:p>
          <w:p w14:paraId="37573E78" w14:textId="77777777" w:rsidR="00722149" w:rsidRPr="000D1A7D" w:rsidRDefault="00722149" w:rsidP="004D0AD2">
            <w:pPr>
              <w:jc w:val="center"/>
              <w:rPr>
                <w:rFonts w:ascii="David" w:hAnsi="David" w:cs="David"/>
                <w:b/>
                <w:bCs/>
                <w:sz w:val="28"/>
                <w:szCs w:val="28"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D1A7D">
              <w:rPr>
                <w:rFonts w:asciiTheme="majorBidi" w:eastAsia="Batang" w:hAnsiTheme="majorBidi" w:cstheme="majorBidi"/>
                <w:b/>
                <w:color w:val="FF0000"/>
                <w:sz w:val="28"/>
                <w:szCs w:val="28"/>
                <w:u w:val="single"/>
              </w:rPr>
              <w:t>LE BAIL COMMERCIAL : L’ESSENTIEL</w:t>
            </w:r>
          </w:p>
        </w:tc>
      </w:tr>
    </w:tbl>
    <w:p w14:paraId="52CB10F8" w14:textId="77777777" w:rsidR="00722149" w:rsidRDefault="00722149" w:rsidP="00722149">
      <w:pPr>
        <w:rPr>
          <w:rFonts w:ascii="David" w:hAnsi="David" w:cs="David"/>
          <w:b/>
          <w:bCs/>
          <w:u w:val="double"/>
        </w:rPr>
      </w:pPr>
    </w:p>
    <w:tbl>
      <w:tblPr>
        <w:tblpPr w:leftFromText="141" w:rightFromText="141" w:vertAnchor="text" w:horzAnchor="margin" w:tblpXSpec="center" w:tblpY="304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722149" w14:paraId="43398D05" w14:textId="77777777" w:rsidTr="00722149">
        <w:trPr>
          <w:trHeight w:val="2947"/>
        </w:trPr>
        <w:tc>
          <w:tcPr>
            <w:tcW w:w="11199" w:type="dxa"/>
          </w:tcPr>
          <w:p w14:paraId="743C167E" w14:textId="77777777" w:rsidR="00722149" w:rsidRPr="00105408" w:rsidRDefault="00722149" w:rsidP="00722149">
            <w:pPr>
              <w:rPr>
                <w:rFonts w:ascii="David" w:hAnsi="David" w:cs="David"/>
                <w:b/>
                <w:bCs/>
                <w:sz w:val="20"/>
                <w:szCs w:val="20"/>
                <w:u w:val="double"/>
              </w:rPr>
            </w:pPr>
          </w:p>
          <w:p w14:paraId="4037E49F" w14:textId="77777777" w:rsidR="00722149" w:rsidRPr="00105408" w:rsidRDefault="00722149" w:rsidP="00722149">
            <w:pPr>
              <w:ind w:firstLine="567"/>
              <w:jc w:val="center"/>
              <w:rPr>
                <w:rFonts w:ascii="David" w:hAnsi="David" w:cs="David"/>
                <w:b/>
                <w:bCs/>
                <w:sz w:val="20"/>
                <w:szCs w:val="20"/>
              </w:rPr>
            </w:pPr>
            <w:r w:rsidRPr="00105408">
              <w:rPr>
                <w:rFonts w:ascii="David" w:hAnsi="David" w:cs="David"/>
                <w:b/>
                <w:bCs/>
                <w:sz w:val="20"/>
                <w:szCs w:val="20"/>
                <w:u w:val="double"/>
              </w:rPr>
              <w:t>Public visé </w:t>
            </w:r>
            <w:r w:rsidRPr="00105408">
              <w:rPr>
                <w:rFonts w:ascii="David" w:hAnsi="David" w:cs="David"/>
                <w:b/>
                <w:bCs/>
                <w:sz w:val="20"/>
                <w:szCs w:val="20"/>
              </w:rPr>
              <w:t>:</w:t>
            </w:r>
          </w:p>
          <w:p w14:paraId="3B4A838D" w14:textId="77777777" w:rsidR="00722149" w:rsidRPr="00105408" w:rsidRDefault="00722149" w:rsidP="00722149">
            <w:pPr>
              <w:jc w:val="both"/>
              <w:rPr>
                <w:rFonts w:ascii="David" w:eastAsia="Batang" w:hAnsi="David" w:cs="David"/>
                <w:b/>
                <w:bCs/>
                <w:sz w:val="20"/>
                <w:szCs w:val="20"/>
              </w:rPr>
            </w:pPr>
            <w:r w:rsidRPr="00105408">
              <w:rPr>
                <w:rFonts w:ascii="David" w:hAnsi="David" w:cs="David"/>
                <w:b/>
                <w:bCs/>
                <w:sz w:val="20"/>
                <w:szCs w:val="20"/>
              </w:rPr>
              <w:t>- conformément au décret du</w:t>
            </w:r>
            <w:r w:rsidRPr="00105408">
              <w:rPr>
                <w:rFonts w:ascii="David" w:hAnsi="David" w:cs="David"/>
                <w:b/>
                <w:bCs/>
                <w:sz w:val="20"/>
                <w:szCs w:val="20"/>
                <w:u w:val="double"/>
              </w:rPr>
              <w:t xml:space="preserve"> </w:t>
            </w:r>
            <w:r w:rsidRPr="00105408">
              <w:rPr>
                <w:rFonts w:ascii="David" w:eastAsia="Batang" w:hAnsi="David" w:cs="David"/>
                <w:b/>
                <w:bCs/>
                <w:sz w:val="20"/>
                <w:szCs w:val="20"/>
              </w:rPr>
              <w:t xml:space="preserve">19 juin 2015, qui a modifié l’article 80 de la loi HOGUET </w:t>
            </w:r>
            <w:r w:rsidRPr="00105408">
              <w:rPr>
                <w:rStyle w:val="Accentuation"/>
                <w:rFonts w:ascii="Arial" w:hAnsi="Arial" w:cs="Arial"/>
                <w:color w:val="656253"/>
                <w:sz w:val="20"/>
                <w:szCs w:val="20"/>
                <w:shd w:val="clear" w:color="auto" w:fill="FFFFFF"/>
              </w:rPr>
              <w:t xml:space="preserve">Et au décret n° 2016-173 du 18 février 2016 </w:t>
            </w:r>
          </w:p>
          <w:p w14:paraId="34A57F41" w14:textId="77777777" w:rsidR="00722149" w:rsidRPr="00105408" w:rsidRDefault="00722149" w:rsidP="00722149">
            <w:pPr>
              <w:ind w:left="67"/>
              <w:jc w:val="both"/>
              <w:rPr>
                <w:rFonts w:ascii="David" w:eastAsia="Batang" w:hAnsi="David" w:cs="David"/>
                <w:b/>
                <w:bCs/>
                <w:sz w:val="20"/>
                <w:szCs w:val="20"/>
              </w:rPr>
            </w:pPr>
            <w:r w:rsidRPr="00105408">
              <w:rPr>
                <w:rFonts w:ascii="David" w:eastAsia="Batang" w:hAnsi="David" w:cs="David"/>
                <w:b/>
                <w:bCs/>
                <w:sz w:val="20"/>
                <w:szCs w:val="20"/>
              </w:rPr>
              <w:t>Le titulaire de la carte professionnelle d’agent immobilier et l’ensemble des collaborateurs (négociateur vente – gestionnaire locatif -agents commerciaux) ;</w:t>
            </w:r>
          </w:p>
          <w:p w14:paraId="4C0FC1F2" w14:textId="77777777" w:rsidR="00722149" w:rsidRPr="00105408" w:rsidRDefault="00722149" w:rsidP="00722149">
            <w:pPr>
              <w:ind w:left="67"/>
              <w:rPr>
                <w:rFonts w:ascii="David" w:hAnsi="David" w:cs="David"/>
                <w:b/>
                <w:bCs/>
                <w:sz w:val="20"/>
                <w:szCs w:val="20"/>
              </w:rPr>
            </w:pPr>
          </w:p>
          <w:p w14:paraId="139038E2" w14:textId="77777777" w:rsidR="00722149" w:rsidRPr="00105408" w:rsidRDefault="00722149" w:rsidP="00722149">
            <w:pPr>
              <w:ind w:left="67" w:firstLine="567"/>
              <w:rPr>
                <w:rFonts w:ascii="David" w:hAnsi="David" w:cs="David"/>
                <w:b/>
                <w:bCs/>
                <w:sz w:val="20"/>
                <w:szCs w:val="20"/>
                <w:u w:val="single"/>
              </w:rPr>
            </w:pPr>
            <w:r w:rsidRPr="00105408">
              <w:rPr>
                <w:rFonts w:ascii="David" w:hAnsi="David" w:cs="David"/>
                <w:b/>
                <w:bCs/>
                <w:sz w:val="20"/>
                <w:szCs w:val="20"/>
                <w:u w:val="single"/>
              </w:rPr>
              <w:t>PRE-REQUIS Aucun</w:t>
            </w:r>
            <w:r w:rsidRPr="00105408">
              <w:rPr>
                <w:rFonts w:ascii="David" w:hAnsi="David" w:cs="David"/>
                <w:sz w:val="20"/>
                <w:szCs w:val="20"/>
              </w:rPr>
              <w:t xml:space="preserve">  </w:t>
            </w:r>
          </w:p>
          <w:p w14:paraId="1EE2F305" w14:textId="77777777" w:rsidR="00722149" w:rsidRDefault="00722149" w:rsidP="00722149">
            <w:pPr>
              <w:ind w:left="67" w:firstLine="567"/>
              <w:rPr>
                <w:sz w:val="20"/>
                <w:szCs w:val="20"/>
              </w:rPr>
            </w:pPr>
            <w:r w:rsidRPr="00105408">
              <w:rPr>
                <w:rFonts w:ascii="David" w:hAnsi="David" w:cs="David"/>
                <w:b/>
                <w:bCs/>
                <w:sz w:val="20"/>
                <w:szCs w:val="20"/>
                <w:u w:val="double"/>
              </w:rPr>
              <w:t>Objectifs :</w:t>
            </w:r>
            <w:r w:rsidRPr="00105408">
              <w:rPr>
                <w:sz w:val="20"/>
                <w:szCs w:val="20"/>
              </w:rPr>
              <w:t xml:space="preserve"> S’approprier les spécificités réglementaires du bail commercial </w:t>
            </w:r>
          </w:p>
          <w:p w14:paraId="0391D425" w14:textId="77777777" w:rsidR="00722149" w:rsidRDefault="00722149" w:rsidP="00722149">
            <w:pPr>
              <w:ind w:left="67" w:firstLine="567"/>
              <w:rPr>
                <w:sz w:val="20"/>
                <w:szCs w:val="20"/>
              </w:rPr>
            </w:pPr>
            <w:r w:rsidRPr="00105408">
              <w:rPr>
                <w:sz w:val="20"/>
                <w:szCs w:val="20"/>
              </w:rPr>
              <w:sym w:font="Symbol" w:char="F0BB"/>
            </w:r>
            <w:r w:rsidRPr="00105408">
              <w:rPr>
                <w:sz w:val="20"/>
                <w:szCs w:val="20"/>
              </w:rPr>
              <w:t xml:space="preserve"> Sécuriser ses pratiques </w:t>
            </w:r>
            <w:r>
              <w:rPr>
                <w:sz w:val="20"/>
                <w:szCs w:val="20"/>
              </w:rPr>
              <w:t xml:space="preserve">-connaitre les règles de capacités- les contraintes de la copropriété </w:t>
            </w:r>
          </w:p>
          <w:p w14:paraId="0C84544E" w14:textId="77777777" w:rsidR="00722149" w:rsidRPr="00105408" w:rsidRDefault="00722149" w:rsidP="00722149">
            <w:pPr>
              <w:ind w:left="67" w:firstLine="567"/>
              <w:rPr>
                <w:sz w:val="20"/>
                <w:szCs w:val="20"/>
              </w:rPr>
            </w:pPr>
            <w:r w:rsidRPr="00105408">
              <w:rPr>
                <w:sz w:val="20"/>
                <w:szCs w:val="20"/>
              </w:rPr>
              <w:sym w:font="Symbol" w:char="F0BB"/>
            </w:r>
            <w:r w:rsidRPr="00105408">
              <w:rPr>
                <w:sz w:val="20"/>
                <w:szCs w:val="20"/>
              </w:rPr>
              <w:t xml:space="preserve"> Prévenir les risques de contentieux</w:t>
            </w:r>
            <w:r>
              <w:rPr>
                <w:sz w:val="20"/>
                <w:szCs w:val="20"/>
              </w:rPr>
              <w:t xml:space="preserve"> avec le propriétaire ou le preneur </w:t>
            </w:r>
          </w:p>
          <w:p w14:paraId="4BA2E50A" w14:textId="2524C8F1" w:rsidR="00722149" w:rsidRPr="005951E1" w:rsidRDefault="00722149" w:rsidP="00722149">
            <w:pPr>
              <w:ind w:firstLine="567"/>
              <w:jc w:val="center"/>
              <w:rPr>
                <w:rFonts w:ascii="David" w:eastAsia="Batang" w:hAnsi="David" w:cs="David"/>
              </w:rPr>
            </w:pPr>
            <w:r w:rsidRPr="00105408">
              <w:rPr>
                <w:rFonts w:ascii="David" w:eastAsia="Batang" w:hAnsi="David" w:cs="David"/>
                <w:b/>
                <w:bCs/>
                <w:sz w:val="20"/>
                <w:szCs w:val="20"/>
                <w:u w:val="single"/>
              </w:rPr>
              <w:t>Durée </w:t>
            </w:r>
            <w:r w:rsidRPr="00105408">
              <w:rPr>
                <w:rFonts w:ascii="David" w:eastAsia="Batang" w:hAnsi="David" w:cs="David"/>
                <w:sz w:val="20"/>
                <w:szCs w:val="20"/>
              </w:rPr>
              <w:t>: 7 heures</w:t>
            </w:r>
            <w:r>
              <w:rPr>
                <w:rFonts w:ascii="David" w:eastAsia="Batang" w:hAnsi="David" w:cs="David"/>
                <w:sz w:val="20"/>
                <w:szCs w:val="20"/>
              </w:rPr>
              <w:t xml:space="preserve"> </w:t>
            </w:r>
          </w:p>
        </w:tc>
      </w:tr>
    </w:tbl>
    <w:p w14:paraId="5356E59D" w14:textId="77777777" w:rsidR="00722149" w:rsidRDefault="00722149" w:rsidP="00722149">
      <w:pPr>
        <w:rPr>
          <w:rFonts w:ascii="David" w:hAnsi="David" w:cs="David"/>
          <w:b/>
          <w:bCs/>
          <w:u w:val="double"/>
        </w:rPr>
      </w:pPr>
    </w:p>
    <w:p w14:paraId="4FC2251A" w14:textId="77777777" w:rsidR="00722149" w:rsidRDefault="00722149" w:rsidP="00722149">
      <w:pPr>
        <w:rPr>
          <w:rFonts w:ascii="David" w:hAnsi="David" w:cs="David"/>
          <w:b/>
          <w:bCs/>
          <w:u w:val="double"/>
        </w:rPr>
      </w:pPr>
    </w:p>
    <w:p w14:paraId="0B7702C2" w14:textId="101E2050" w:rsidR="00722149" w:rsidRPr="00722149" w:rsidRDefault="00722149" w:rsidP="00722149">
      <w:pPr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6202DE">
        <w:rPr>
          <w:rFonts w:ascii="David" w:hAnsi="David" w:cs="David"/>
          <w:b/>
          <w:bCs/>
          <w:sz w:val="28"/>
          <w:szCs w:val="28"/>
          <w:u w:val="single"/>
        </w:rPr>
        <w:t>PROGRAMME détaillé et séquencé</w:t>
      </w:r>
    </w:p>
    <w:p w14:paraId="226412CC" w14:textId="77777777" w:rsidR="00722149" w:rsidRDefault="00722149" w:rsidP="00722149">
      <w:r>
        <w:rPr>
          <w:noProof/>
          <w:lang w:eastAsia="fr-FR" w:bidi="he-IL"/>
        </w:rPr>
        <w:drawing>
          <wp:inline distT="0" distB="0" distL="0" distR="0" wp14:anchorId="0197A1B6" wp14:editId="242EB8CD">
            <wp:extent cx="6269988" cy="1828800"/>
            <wp:effectExtent l="0" t="0" r="0" b="0"/>
            <wp:docPr id="38" name="Image 38" descr="Une image contenant texte, Appareils électroniques, capture d’écra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Une image contenant texte, Appareils électroniques, capture d’écran, logiciel&#10;&#10;Le contenu généré par l’IA peut être incorrect."/>
                    <pic:cNvPicPr/>
                  </pic:nvPicPr>
                  <pic:blipFill rotWithShape="1">
                    <a:blip r:embed="rId7"/>
                    <a:srcRect l="23385" t="15641" r="42247" b="58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691" cy="1845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CC8960" w14:textId="77777777" w:rsidR="00722149" w:rsidRDefault="00722149" w:rsidP="00722149"/>
    <w:p w14:paraId="6FB175E9" w14:textId="1FCD4F33" w:rsidR="00722149" w:rsidRDefault="00722149" w:rsidP="00722149">
      <w:r>
        <w:rPr>
          <w:noProof/>
          <w:lang w:eastAsia="fr-FR" w:bidi="he-IL"/>
        </w:rPr>
        <w:lastRenderedPageBreak/>
        <w:drawing>
          <wp:inline distT="0" distB="0" distL="0" distR="0" wp14:anchorId="69786BB5" wp14:editId="28024B3E">
            <wp:extent cx="6269990" cy="1416050"/>
            <wp:effectExtent l="0" t="0" r="0" b="0"/>
            <wp:docPr id="782397522" name="Image 782397522" descr="Une image contenant texte, Appareils électroniques, capture d’écra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Une image contenant texte, Appareils électroniques, capture d’écran, logiciel&#10;&#10;Le contenu généré par l’IA peut être incorrect."/>
                    <pic:cNvPicPr/>
                  </pic:nvPicPr>
                  <pic:blipFill rotWithShape="1">
                    <a:blip r:embed="rId7"/>
                    <a:srcRect l="23385" t="41203" r="42247" b="43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767" cy="1426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D9E4E2" w14:textId="77777777" w:rsidR="00722149" w:rsidRDefault="00722149" w:rsidP="00722149"/>
    <w:p w14:paraId="5CC56032" w14:textId="3121FCBF" w:rsidR="00722149" w:rsidRDefault="00722149" w:rsidP="00722149">
      <w:r>
        <w:rPr>
          <w:noProof/>
          <w:lang w:eastAsia="fr-FR" w:bidi="he-IL"/>
        </w:rPr>
        <w:drawing>
          <wp:inline distT="0" distB="0" distL="0" distR="0" wp14:anchorId="3A163C0B" wp14:editId="7848E5D8">
            <wp:extent cx="6278245" cy="2936240"/>
            <wp:effectExtent l="0" t="0" r="0" b="10160"/>
            <wp:docPr id="39" name="Image 39" descr="Une image contenant texte, Appareils électroniques, capture d’écran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Une image contenant texte, Appareils électroniques, capture d’écran, logiciel&#10;&#10;Le contenu généré par l’IA peut être incorrect."/>
                    <pic:cNvPicPr/>
                  </pic:nvPicPr>
                  <pic:blipFill rotWithShape="1">
                    <a:blip r:embed="rId7"/>
                    <a:srcRect l="23385" t="55373" r="42247" b="10425"/>
                    <a:stretch/>
                  </pic:blipFill>
                  <pic:spPr bwMode="auto">
                    <a:xfrm>
                      <a:off x="0" y="0"/>
                      <a:ext cx="6284997" cy="29393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083575" w14:textId="77777777" w:rsidR="00722149" w:rsidRDefault="00722149" w:rsidP="00722149">
      <w:pPr>
        <w:ind w:firstLine="567"/>
        <w:jc w:val="center"/>
        <w:rPr>
          <w:rFonts w:ascii="David" w:hAnsi="David" w:cs="David"/>
          <w:b/>
          <w:bCs/>
          <w:u w:val="double"/>
        </w:rPr>
      </w:pPr>
      <w:r w:rsidRPr="00F66C80">
        <w:rPr>
          <w:rFonts w:ascii="David" w:hAnsi="David" w:cs="David"/>
          <w:b/>
          <w:bCs/>
          <w:u w:val="double"/>
        </w:rPr>
        <w:t>METHODOLOGIE</w:t>
      </w:r>
    </w:p>
    <w:p w14:paraId="24F7946F" w14:textId="77777777" w:rsidR="00722149" w:rsidRDefault="00722149" w:rsidP="00722149">
      <w:pPr>
        <w:ind w:firstLine="567"/>
        <w:jc w:val="center"/>
        <w:rPr>
          <w:rFonts w:ascii="David" w:hAnsi="David" w:cs="David"/>
          <w:b/>
          <w:bCs/>
          <w:u w:val="double"/>
        </w:rPr>
      </w:pPr>
    </w:p>
    <w:p w14:paraId="49063260" w14:textId="77777777" w:rsidR="00722149" w:rsidRPr="009222DC" w:rsidRDefault="00722149" w:rsidP="00722149">
      <w:pPr>
        <w:ind w:firstLine="567"/>
        <w:jc w:val="center"/>
        <w:rPr>
          <w:rFonts w:ascii="David" w:hAnsi="David" w:cs="David"/>
          <w:b/>
          <w:bCs/>
          <w:u w:val="double"/>
        </w:rPr>
      </w:pPr>
      <w:r w:rsidRPr="006A10B1"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>les moyens pédagogiques, techniques et d’encadrement ;</w:t>
      </w:r>
    </w:p>
    <w:p w14:paraId="0DC774BB" w14:textId="77777777" w:rsidR="00722149" w:rsidRPr="00857C38" w:rsidRDefault="00722149" w:rsidP="00722149">
      <w:pPr>
        <w:pStyle w:val="Paragraphedeliste"/>
        <w:rPr>
          <w:rFonts w:ascii="David" w:hAnsi="David" w:cs="David"/>
          <w:b/>
          <w:bCs/>
        </w:rPr>
      </w:pPr>
      <w:r>
        <w:t xml:space="preserve">Par l’entraînement à la rédaction, dans ses grandes lignes, d’un bail commercial </w:t>
      </w:r>
      <w:r>
        <w:sym w:font="Symbol" w:char="F0BB"/>
      </w:r>
      <w:r>
        <w:t xml:space="preserve"> Par l’analyse de la jurisprudence récente</w:t>
      </w:r>
    </w:p>
    <w:p w14:paraId="37D5D3F8" w14:textId="77777777" w:rsidR="00722149" w:rsidRPr="00857C38" w:rsidRDefault="00722149" w:rsidP="00722149">
      <w:pPr>
        <w:pStyle w:val="Paragraphedeliste"/>
        <w:rPr>
          <w:rFonts w:ascii="David" w:hAnsi="David" w:cs="David"/>
          <w:b/>
          <w:bCs/>
        </w:rPr>
      </w:pPr>
      <w:r w:rsidRPr="00857C38">
        <w:rPr>
          <w:rFonts w:ascii="David" w:hAnsi="David" w:cs="David"/>
          <w:b/>
          <w:bCs/>
        </w:rPr>
        <w:t>Jurisprudences récentes et exemples concrets – cas pratiques –</w:t>
      </w:r>
    </w:p>
    <w:p w14:paraId="2131A71D" w14:textId="77777777" w:rsidR="00722149" w:rsidRDefault="00722149" w:rsidP="00722149">
      <w:pPr>
        <w:pStyle w:val="Paragraphedeliste"/>
        <w:shd w:val="clear" w:color="auto" w:fill="FFFFFF"/>
        <w:rPr>
          <w:rFonts w:ascii="David" w:hAnsi="David" w:cs="David"/>
          <w:b/>
          <w:bCs/>
        </w:rPr>
      </w:pPr>
      <w:r w:rsidRPr="00857C38">
        <w:rPr>
          <w:rFonts w:ascii="David" w:hAnsi="David" w:cs="David"/>
          <w:b/>
          <w:bCs/>
        </w:rPr>
        <w:t>Évaluations orales des participants</w:t>
      </w:r>
    </w:p>
    <w:p w14:paraId="08E4CB18" w14:textId="77777777" w:rsidR="00722149" w:rsidRPr="009222DC" w:rsidRDefault="00722149" w:rsidP="00722149">
      <w:pPr>
        <w:pStyle w:val="Paragraphedeliste"/>
        <w:shd w:val="clear" w:color="auto" w:fill="FFFFFF"/>
        <w:rPr>
          <w:rFonts w:ascii="David" w:hAnsi="David" w:cs="David"/>
          <w:b/>
          <w:bCs/>
        </w:rPr>
      </w:pPr>
      <w:r w:rsidRPr="006A10B1">
        <w:rPr>
          <w:rFonts w:ascii="Arial" w:eastAsia="Times New Roman" w:hAnsi="Arial" w:cs="Arial"/>
          <w:b/>
          <w:bCs/>
          <w:color w:val="000000"/>
          <w:u w:val="single"/>
          <w:lang w:eastAsia="fr-FR" w:bidi="he-IL"/>
        </w:rPr>
        <w:t>Les modalités de suivi de l’exécution du programme et d'appréciation des résultats</w:t>
      </w:r>
    </w:p>
    <w:p w14:paraId="4C501D1A" w14:textId="77777777" w:rsidR="00722149" w:rsidRDefault="00722149" w:rsidP="00722149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David" w:hAnsi="David" w:cs="David"/>
          <w:b/>
          <w:bCs/>
        </w:rPr>
      </w:pPr>
      <w:r w:rsidRPr="00857C38">
        <w:rPr>
          <w:rFonts w:ascii="David" w:hAnsi="David" w:cs="David"/>
          <w:b/>
          <w:bCs/>
        </w:rPr>
        <w:t xml:space="preserve">Signatures des feuilles de présence </w:t>
      </w:r>
    </w:p>
    <w:p w14:paraId="38794FEE" w14:textId="77777777" w:rsidR="00722149" w:rsidRPr="00857C38" w:rsidRDefault="00722149" w:rsidP="00722149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David" w:hAnsi="David" w:cs="David"/>
          <w:b/>
          <w:bCs/>
        </w:rPr>
      </w:pPr>
      <w:r>
        <w:rPr>
          <w:rFonts w:ascii="David" w:hAnsi="David" w:cs="David"/>
          <w:b/>
          <w:bCs/>
        </w:rPr>
        <w:t xml:space="preserve">Évaluation de la formation au moyen de la feuille d’évaluation et notation </w:t>
      </w:r>
    </w:p>
    <w:p w14:paraId="20FC1D01" w14:textId="77777777" w:rsidR="00722149" w:rsidRPr="009222DC" w:rsidRDefault="00722149" w:rsidP="00722149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David" w:hAnsi="David" w:cs="David"/>
          <w:b/>
          <w:bCs/>
        </w:rPr>
      </w:pPr>
      <w:r w:rsidRPr="00857C38">
        <w:rPr>
          <w:rFonts w:ascii="David" w:hAnsi="David" w:cs="David"/>
          <w:b/>
          <w:bCs/>
        </w:rPr>
        <w:t xml:space="preserve">- signatures des attestations de formation </w:t>
      </w:r>
    </w:p>
    <w:p w14:paraId="02F1640B" w14:textId="77777777" w:rsidR="00722149" w:rsidRPr="006202DE" w:rsidRDefault="00722149" w:rsidP="00722149">
      <w:pPr>
        <w:pStyle w:val="NormalWeb"/>
        <w:rPr>
          <w:rFonts w:asciiTheme="majorBidi" w:hAnsiTheme="majorBidi" w:cstheme="majorBidi"/>
          <w:b/>
          <w:bCs/>
          <w:u w:val="single"/>
        </w:rPr>
      </w:pPr>
    </w:p>
    <w:p w14:paraId="62FAA972" w14:textId="77777777" w:rsidR="00722149" w:rsidRDefault="00722149" w:rsidP="00722149"/>
    <w:sectPr w:rsidR="00722149" w:rsidSect="00722149">
      <w:headerReference w:type="default" r:id="rId8"/>
      <w:footerReference w:type="default" r:id="rId9"/>
      <w:pgSz w:w="12240" w:h="15840"/>
      <w:pgMar w:top="568" w:right="758" w:bottom="142" w:left="1134" w:header="7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DA24" w14:textId="77777777" w:rsidR="00997A10" w:rsidRDefault="00997A10">
      <w:pPr>
        <w:spacing w:after="0" w:line="240" w:lineRule="auto"/>
      </w:pPr>
      <w:r>
        <w:separator/>
      </w:r>
    </w:p>
  </w:endnote>
  <w:endnote w:type="continuationSeparator" w:id="0">
    <w:p w14:paraId="5C14DD24" w14:textId="77777777" w:rsidR="00997A10" w:rsidRDefault="0099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 West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69AF" w14:textId="77777777" w:rsidR="008C703D" w:rsidRPr="004563D2" w:rsidRDefault="004212AF" w:rsidP="008664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RCS </w:t>
    </w:r>
    <w:r>
      <w:rPr>
        <w:rFonts w:ascii="Times New Roman" w:hAnsi="Times New Roman" w:cs="Times New Roman"/>
        <w:b/>
        <w:sz w:val="16"/>
        <w:szCs w:val="16"/>
        <w:u w:val="single"/>
        <w:lang w:eastAsia="fr-FR"/>
      </w:rPr>
      <w:t>NICE</w:t>
    </w:r>
    <w:r w:rsidRPr="004563D2">
      <w:rPr>
        <w:rFonts w:ascii="Times New Roman" w:hAnsi="Times New Roman" w:cs="Times New Roman"/>
        <w:b/>
        <w:sz w:val="16"/>
        <w:szCs w:val="16"/>
        <w:u w:val="single"/>
        <w:lang w:eastAsia="fr-FR"/>
      </w:rPr>
      <w:t xml:space="preserve">  </w:t>
    </w:r>
    <w:r w:rsidRPr="00866416">
      <w:rPr>
        <w:rFonts w:ascii="Times New Roman" w:hAnsi="Times New Roman" w:cs="Times New Roman"/>
        <w:b/>
        <w:sz w:val="16"/>
        <w:szCs w:val="16"/>
        <w:u w:val="single"/>
        <w:lang w:eastAsia="fr-FR"/>
      </w:rPr>
      <w:t>925 002 990</w:t>
    </w:r>
  </w:p>
  <w:p w14:paraId="078425D6" w14:textId="07DE6F03" w:rsidR="008C703D" w:rsidRPr="004563D2" w:rsidRDefault="004212AF" w:rsidP="001147E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Déclaration d’activité enregistrée sous le numéro : </w:t>
    </w:r>
    <w:r w:rsidR="001147EE" w:rsidRPr="001147EE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: </w:t>
    </w:r>
    <w:r w:rsidR="001147EE" w:rsidRPr="001147EE">
      <w:rPr>
        <w:rFonts w:ascii="Times New Roman" w:hAnsi="Times New Roman" w:cs="Times New Roman"/>
        <w:sz w:val="16"/>
        <w:szCs w:val="16"/>
        <w:u w:val="single"/>
        <w:lang w:eastAsia="fr-FR"/>
      </w:rPr>
      <w:tab/>
      <w:t xml:space="preserve">93061116506 </w:t>
    </w:r>
    <w:r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auprès du préfet de la région Provence Alpes Côte d’Azur</w:t>
    </w:r>
  </w:p>
  <w:p w14:paraId="73AC2C40" w14:textId="77777777" w:rsidR="008C703D" w:rsidRDefault="008C70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220BB" w14:textId="77777777" w:rsidR="00997A10" w:rsidRDefault="00997A10">
      <w:pPr>
        <w:spacing w:after="0" w:line="240" w:lineRule="auto"/>
      </w:pPr>
      <w:r>
        <w:separator/>
      </w:r>
    </w:p>
  </w:footnote>
  <w:footnote w:type="continuationSeparator" w:id="0">
    <w:p w14:paraId="34402840" w14:textId="77777777" w:rsidR="00997A10" w:rsidRDefault="00997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0FC6A" w14:textId="78B3CF4E" w:rsidR="008C703D" w:rsidRPr="00866416" w:rsidRDefault="004212AF" w:rsidP="004563D2">
    <w:pPr>
      <w:tabs>
        <w:tab w:val="center" w:pos="4536"/>
        <w:tab w:val="right" w:pos="9072"/>
      </w:tabs>
      <w:spacing w:after="0" w:line="240" w:lineRule="auto"/>
      <w:rPr>
        <w:rFonts w:ascii="Aharoni" w:hAnsi="Aharoni" w:cs="Aharoni"/>
        <w:noProof/>
        <w:sz w:val="44"/>
        <w:szCs w:val="44"/>
        <w:lang w:eastAsia="fr-FR" w:bidi="he-IL"/>
      </w:rPr>
    </w:pPr>
    <w:r>
      <w:rPr>
        <w:rFonts w:ascii="Aharoni" w:hAnsi="Aharoni" w:cs="Aharoni"/>
        <w:noProof/>
        <w:sz w:val="44"/>
        <w:szCs w:val="44"/>
        <w:lang w:eastAsia="fr-FR" w:bidi="he-IL"/>
      </w:rPr>
      <w:t xml:space="preserve">SARL 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>ALLURE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  <w:t xml:space="preserve"> </w:t>
    </w:r>
  </w:p>
  <w:p w14:paraId="7AD030E4" w14:textId="77777777" w:rsidR="008C703D" w:rsidRPr="00866416" w:rsidRDefault="004212AF" w:rsidP="00866416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noProof/>
        <w:lang w:eastAsia="fr-FR" w:bidi="he-IL"/>
      </w:rPr>
    </w:pPr>
    <w:r w:rsidRPr="00866416">
      <w:rPr>
        <w:rFonts w:asciiTheme="majorBidi" w:hAnsiTheme="majorBidi" w:cstheme="majorBidi"/>
        <w:noProof/>
        <w:lang w:eastAsia="fr-FR" w:bidi="he-IL"/>
      </w:rPr>
      <w:t>2 PLACE MAGENTA, 06000 NICE</w:t>
    </w:r>
  </w:p>
  <w:p w14:paraId="1FF0987C" w14:textId="77777777" w:rsidR="008C703D" w:rsidRPr="00E743B9" w:rsidRDefault="004212AF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sz w:val="20"/>
        <w:szCs w:val="20"/>
        <w:lang w:eastAsia="fr-FR"/>
      </w:rPr>
    </w:pPr>
    <w:r w:rsidRPr="00E743B9">
      <w:rPr>
        <w:rFonts w:ascii="Batang Western" w:eastAsia="Batang" w:hAnsi="Batang Western" w:cs="Times New Roman"/>
        <w:sz w:val="20"/>
        <w:szCs w:val="20"/>
        <w:lang w:eastAsia="fr-FR"/>
      </w:rPr>
      <w:t xml:space="preserve">Directrice :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Corinne </w:t>
    </w:r>
    <w:r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DJIAN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>EL MALEK</w:t>
    </w:r>
  </w:p>
  <w:p w14:paraId="6C16980C" w14:textId="77777777" w:rsidR="008C703D" w:rsidRPr="004563D2" w:rsidRDefault="004212AF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b/>
        <w:sz w:val="16"/>
        <w:szCs w:val="16"/>
        <w:lang w:eastAsia="fr-FR"/>
      </w:rPr>
    </w:pPr>
    <w:r w:rsidRPr="004563D2">
      <w:rPr>
        <w:rFonts w:ascii="Batang" w:eastAsia="Batang" w:hAnsi="Batang" w:cs="Times New Roman"/>
        <w:b/>
        <w:sz w:val="16"/>
        <w:szCs w:val="16"/>
        <w:lang w:eastAsia="fr-FR"/>
      </w:rPr>
      <w:t xml:space="preserve">Tel 06 76 51 29 32 </w:t>
    </w:r>
  </w:p>
  <w:p w14:paraId="39D3FDBE" w14:textId="77777777" w:rsidR="008C703D" w:rsidRDefault="008C70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69"/>
    <w:multiLevelType w:val="multilevel"/>
    <w:tmpl w:val="A6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30A66"/>
    <w:multiLevelType w:val="multilevel"/>
    <w:tmpl w:val="424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A031D9"/>
    <w:multiLevelType w:val="multilevel"/>
    <w:tmpl w:val="FBF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8D3C4F"/>
    <w:multiLevelType w:val="multilevel"/>
    <w:tmpl w:val="D2B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3114753">
    <w:abstractNumId w:val="2"/>
  </w:num>
  <w:num w:numId="2" w16cid:durableId="471869608">
    <w:abstractNumId w:val="1"/>
  </w:num>
  <w:num w:numId="3" w16cid:durableId="2051690044">
    <w:abstractNumId w:val="0"/>
  </w:num>
  <w:num w:numId="4" w16cid:durableId="1825856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49"/>
    <w:rsid w:val="001147EE"/>
    <w:rsid w:val="002908AD"/>
    <w:rsid w:val="00326B64"/>
    <w:rsid w:val="0040086B"/>
    <w:rsid w:val="004212AF"/>
    <w:rsid w:val="00421985"/>
    <w:rsid w:val="005D181E"/>
    <w:rsid w:val="00722149"/>
    <w:rsid w:val="007B044E"/>
    <w:rsid w:val="008C703D"/>
    <w:rsid w:val="009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06CC"/>
  <w15:chartTrackingRefBased/>
  <w15:docId w15:val="{68A86982-F06D-4B48-B13C-8EFA513A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149"/>
    <w:rPr>
      <w:kern w:val="0"/>
      <w:lang w:val="fr-CA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22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2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2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2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2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2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2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2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2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2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2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2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21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21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21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21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21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21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2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22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2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22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2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221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21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221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2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21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2149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722149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221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2149"/>
    <w:rPr>
      <w:kern w:val="0"/>
      <w:lang w:val="fr-CA" w:bidi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221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2149"/>
    <w:rPr>
      <w:kern w:val="0"/>
      <w:lang w:val="fr-CA" w:bidi="ar-SA"/>
      <w14:ligatures w14:val="none"/>
    </w:rPr>
  </w:style>
  <w:style w:type="paragraph" w:styleId="NormalWeb">
    <w:name w:val="Normal (Web)"/>
    <w:basedOn w:val="Normal"/>
    <w:uiPriority w:val="99"/>
    <w:unhideWhenUsed/>
    <w:rsid w:val="007221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MALEK Corinne</dc:creator>
  <cp:keywords/>
  <dc:description/>
  <cp:lastModifiedBy>EL MALEK Corinne</cp:lastModifiedBy>
  <cp:revision>3</cp:revision>
  <cp:lastPrinted>2026-03-17T10:06:00Z</cp:lastPrinted>
  <dcterms:created xsi:type="dcterms:W3CDTF">2025-06-17T05:54:00Z</dcterms:created>
  <dcterms:modified xsi:type="dcterms:W3CDTF">2026-04-01T09:44:00Z</dcterms:modified>
</cp:coreProperties>
</file>