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E3E53" w:rsidRPr="00007C41" w14:paraId="0AEE21EF" w14:textId="77777777" w:rsidTr="004D0AD2">
        <w:trPr>
          <w:trHeight w:val="1515"/>
        </w:trPr>
        <w:tc>
          <w:tcPr>
            <w:tcW w:w="10065" w:type="dxa"/>
          </w:tcPr>
          <w:p w14:paraId="4CCF849C" w14:textId="77777777" w:rsidR="009E3E53" w:rsidRDefault="009E3E53" w:rsidP="004D0AD2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3EEF">
              <w:rPr>
                <w:rFonts w:ascii="David" w:hAnsi="David" w:cs="David"/>
                <w:b/>
                <w:bCs/>
                <w:sz w:val="32"/>
                <w:szCs w:val="32"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Programme de formation </w:t>
            </w:r>
          </w:p>
          <w:p w14:paraId="501F3D7F" w14:textId="77777777" w:rsidR="009E3E53" w:rsidRPr="00243EEF" w:rsidRDefault="009E3E53" w:rsidP="004D0AD2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Conforme à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La circulaire DGEFP n° 2006/35 du 14 novembre 2006</w:t>
            </w:r>
          </w:p>
          <w:p w14:paraId="59870F65" w14:textId="77777777" w:rsidR="009E3E53" w:rsidRPr="00243EEF" w:rsidRDefault="009E3E53" w:rsidP="004D0AD2">
            <w:pPr>
              <w:spacing w:after="0"/>
              <w:jc w:val="center"/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3EEF"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LE CADRE LEGAL DE L’EXERCICE DU METIER D’AGENT IMMOBILIER</w:t>
            </w:r>
          </w:p>
          <w:p w14:paraId="2D6682DD" w14:textId="77777777" w:rsidR="009E3E53" w:rsidRPr="00243EEF" w:rsidRDefault="009E3E53" w:rsidP="004D0AD2">
            <w:pPr>
              <w:spacing w:after="0"/>
              <w:jc w:val="center"/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3EEF"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-DEONTOLOGIE ET ETHIQUE</w:t>
            </w:r>
            <w:r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(3 heures)</w:t>
            </w:r>
          </w:p>
          <w:p w14:paraId="50B724B6" w14:textId="77777777" w:rsidR="009E3E53" w:rsidRDefault="009E3E53" w:rsidP="004D0AD2">
            <w:pPr>
              <w:spacing w:after="0"/>
              <w:jc w:val="center"/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3EEF"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LUTTER CONTRE LE BLANCHIMENT D’ARGENT</w:t>
            </w:r>
            <w:r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(2 heures)</w:t>
            </w:r>
          </w:p>
          <w:p w14:paraId="1D083E73" w14:textId="77777777" w:rsidR="009E3E53" w:rsidRDefault="009E3E53" w:rsidP="004D0AD2">
            <w:pPr>
              <w:spacing w:after="0"/>
              <w:jc w:val="center"/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LUTTER CONTRE LA DISCRIMINATION POUR L’ACCES AU LOGEMENT (2 heures)</w:t>
            </w:r>
          </w:p>
          <w:p w14:paraId="60507D92" w14:textId="77777777" w:rsidR="009E3E53" w:rsidRPr="00243EEF" w:rsidRDefault="009E3E53" w:rsidP="004D0AD2">
            <w:pPr>
              <w:spacing w:after="0"/>
              <w:jc w:val="center"/>
              <w:rPr>
                <w:rFonts w:ascii="David" w:hAnsi="David" w:cs="David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</w:tbl>
    <w:p w14:paraId="6C9883C5" w14:textId="77777777" w:rsidR="009E3E53" w:rsidRDefault="009E3E53" w:rsidP="009E3E53">
      <w:pPr>
        <w:rPr>
          <w:rFonts w:ascii="David" w:hAnsi="David" w:cs="David"/>
          <w:b/>
          <w:bCs/>
          <w:sz w:val="24"/>
          <w:szCs w:val="24"/>
          <w:u w:val="double"/>
        </w:rPr>
      </w:pPr>
    </w:p>
    <w:p w14:paraId="32041461" w14:textId="77777777" w:rsidR="009E3E53" w:rsidRPr="00A00FCB" w:rsidRDefault="009E3E53" w:rsidP="009E3E53">
      <w:pPr>
        <w:spacing w:after="0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A00FCB">
        <w:rPr>
          <w:rFonts w:ascii="David" w:hAnsi="David" w:cs="David"/>
          <w:b/>
          <w:bCs/>
          <w:sz w:val="28"/>
          <w:szCs w:val="28"/>
          <w:u w:val="single"/>
        </w:rPr>
        <w:t>PUBLIC VISE :</w:t>
      </w:r>
    </w:p>
    <w:p w14:paraId="618E91CC" w14:textId="77777777" w:rsidR="009E3E53" w:rsidRDefault="009E3E53" w:rsidP="009E3E53">
      <w:pPr>
        <w:spacing w:after="0"/>
        <w:ind w:firstLine="567"/>
        <w:jc w:val="center"/>
        <w:rPr>
          <w:rFonts w:ascii="David" w:eastAsia="Batang" w:hAnsi="David" w:cs="David"/>
          <w:b/>
          <w:bCs/>
          <w:sz w:val="24"/>
          <w:szCs w:val="24"/>
        </w:rPr>
      </w:pPr>
      <w:r w:rsidRPr="00F66C80">
        <w:rPr>
          <w:rFonts w:ascii="David" w:hAnsi="David" w:cs="David"/>
          <w:b/>
          <w:bCs/>
          <w:sz w:val="24"/>
          <w:szCs w:val="24"/>
        </w:rPr>
        <w:t>- conformément au décret du</w:t>
      </w:r>
      <w:r w:rsidRPr="00F66C80">
        <w:rPr>
          <w:rFonts w:ascii="David" w:hAnsi="David" w:cs="David"/>
          <w:b/>
          <w:bCs/>
          <w:sz w:val="24"/>
          <w:szCs w:val="24"/>
          <w:u w:val="double"/>
        </w:rPr>
        <w:t xml:space="preserve"> </w:t>
      </w:r>
      <w:r w:rsidRPr="00F66C80">
        <w:rPr>
          <w:rFonts w:ascii="David" w:eastAsia="Batang" w:hAnsi="David" w:cs="David"/>
          <w:b/>
          <w:bCs/>
          <w:sz w:val="24"/>
          <w:szCs w:val="24"/>
        </w:rPr>
        <w:t>19 juin 2015, qui a modifié l’article 80 de la loi HOGUET</w:t>
      </w:r>
    </w:p>
    <w:p w14:paraId="357C20AB" w14:textId="77777777" w:rsidR="009E3E53" w:rsidRPr="00F66C80" w:rsidRDefault="009E3E53" w:rsidP="009E3E53">
      <w:pPr>
        <w:spacing w:after="0"/>
        <w:ind w:firstLine="567"/>
        <w:jc w:val="center"/>
        <w:rPr>
          <w:rFonts w:ascii="David" w:eastAsia="Batang" w:hAnsi="David" w:cs="David"/>
          <w:b/>
          <w:bCs/>
          <w:sz w:val="24"/>
          <w:szCs w:val="24"/>
        </w:rPr>
      </w:pPr>
      <w:r>
        <w:rPr>
          <w:rStyle w:val="Accentuation"/>
          <w:rFonts w:ascii="Arial" w:hAnsi="Arial" w:cs="Arial"/>
          <w:color w:val="656253"/>
          <w:sz w:val="18"/>
          <w:szCs w:val="18"/>
          <w:shd w:val="clear" w:color="auto" w:fill="FFFFFF"/>
        </w:rPr>
        <w:t>Et au décret n° 2016-173 du 18 février 2016</w:t>
      </w:r>
    </w:p>
    <w:p w14:paraId="75FE06A0" w14:textId="77777777" w:rsidR="009E3E53" w:rsidRDefault="009E3E53" w:rsidP="009E3E53">
      <w:pPr>
        <w:spacing w:after="0"/>
        <w:ind w:firstLine="567"/>
        <w:jc w:val="center"/>
        <w:rPr>
          <w:rFonts w:ascii="David" w:eastAsia="Batang" w:hAnsi="David" w:cs="David"/>
          <w:b/>
          <w:bCs/>
          <w:sz w:val="24"/>
          <w:szCs w:val="24"/>
        </w:rPr>
      </w:pPr>
      <w:r>
        <w:rPr>
          <w:rFonts w:ascii="David" w:eastAsia="Batang" w:hAnsi="David" w:cs="David"/>
          <w:b/>
          <w:bCs/>
          <w:sz w:val="24"/>
          <w:szCs w:val="24"/>
        </w:rPr>
        <w:t>Le titulaire</w:t>
      </w:r>
      <w:r w:rsidRPr="00F66C80">
        <w:rPr>
          <w:rFonts w:ascii="David" w:eastAsia="Batang" w:hAnsi="David" w:cs="David"/>
          <w:b/>
          <w:bCs/>
          <w:sz w:val="24"/>
          <w:szCs w:val="24"/>
        </w:rPr>
        <w:t xml:space="preserve"> de la carte </w:t>
      </w:r>
      <w:r>
        <w:rPr>
          <w:rFonts w:ascii="David" w:eastAsia="Batang" w:hAnsi="David" w:cs="David"/>
          <w:b/>
          <w:bCs/>
          <w:sz w:val="24"/>
          <w:szCs w:val="24"/>
        </w:rPr>
        <w:t xml:space="preserve">professionnelle d’agent immobilier </w:t>
      </w:r>
      <w:r w:rsidRPr="00F66C80">
        <w:rPr>
          <w:rFonts w:ascii="David" w:eastAsia="Batang" w:hAnsi="David" w:cs="David"/>
          <w:b/>
          <w:bCs/>
          <w:sz w:val="24"/>
          <w:szCs w:val="24"/>
        </w:rPr>
        <w:t>et l’ensemble des collaborateurs</w:t>
      </w:r>
      <w:r>
        <w:rPr>
          <w:rFonts w:ascii="David" w:eastAsia="Batang" w:hAnsi="David" w:cs="David"/>
          <w:b/>
          <w:bCs/>
          <w:sz w:val="24"/>
          <w:szCs w:val="24"/>
        </w:rPr>
        <w:t xml:space="preserve"> (négociateur vente – gestionnaire locatif -</w:t>
      </w:r>
      <w:r w:rsidRPr="00F66C80">
        <w:rPr>
          <w:rFonts w:ascii="David" w:eastAsia="Batang" w:hAnsi="David" w:cs="David"/>
          <w:b/>
          <w:bCs/>
          <w:sz w:val="24"/>
          <w:szCs w:val="24"/>
        </w:rPr>
        <w:t>agents commerciaux</w:t>
      </w:r>
      <w:r>
        <w:rPr>
          <w:rFonts w:ascii="David" w:eastAsia="Batang" w:hAnsi="David" w:cs="David"/>
          <w:b/>
          <w:bCs/>
          <w:sz w:val="24"/>
          <w:szCs w:val="24"/>
        </w:rPr>
        <w:t>)</w:t>
      </w:r>
      <w:r w:rsidRPr="00F66C80">
        <w:rPr>
          <w:rFonts w:ascii="David" w:eastAsia="Batang" w:hAnsi="David" w:cs="David"/>
          <w:b/>
          <w:bCs/>
          <w:sz w:val="24"/>
          <w:szCs w:val="24"/>
        </w:rPr>
        <w:t> ;</w:t>
      </w:r>
    </w:p>
    <w:p w14:paraId="2D512568" w14:textId="77777777" w:rsidR="009E3E53" w:rsidRDefault="009E3E53" w:rsidP="009E3E53">
      <w:pPr>
        <w:spacing w:after="0"/>
        <w:rPr>
          <w:rFonts w:ascii="David" w:hAnsi="David" w:cs="David"/>
          <w:b/>
          <w:bCs/>
          <w:sz w:val="24"/>
          <w:szCs w:val="24"/>
        </w:rPr>
      </w:pPr>
    </w:p>
    <w:p w14:paraId="1D14D53C" w14:textId="77777777" w:rsidR="009E3E53" w:rsidRDefault="009E3E53" w:rsidP="009E3E53">
      <w:pPr>
        <w:spacing w:after="0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  <w:r w:rsidRPr="00C31FB2">
        <w:rPr>
          <w:rFonts w:ascii="David" w:hAnsi="David" w:cs="David"/>
          <w:b/>
          <w:bCs/>
          <w:sz w:val="24"/>
          <w:szCs w:val="24"/>
          <w:u w:val="single"/>
        </w:rPr>
        <w:t>PRE-REQUIS </w:t>
      </w:r>
    </w:p>
    <w:p w14:paraId="43451917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Aucun</w:t>
      </w:r>
    </w:p>
    <w:p w14:paraId="4CE06D55" w14:textId="77777777" w:rsidR="009E3E53" w:rsidRPr="00007C41" w:rsidRDefault="009E3E53" w:rsidP="009E3E53">
      <w:pPr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  <w:r w:rsidRPr="00007C41">
        <w:rPr>
          <w:rFonts w:ascii="David" w:hAnsi="David" w:cs="David"/>
          <w:b/>
          <w:bCs/>
          <w:sz w:val="24"/>
          <w:szCs w:val="24"/>
          <w:u w:val="double"/>
        </w:rPr>
        <w:t>Objectifs :</w:t>
      </w:r>
    </w:p>
    <w:p w14:paraId="58CF37E2" w14:textId="77777777" w:rsidR="009E3E53" w:rsidRPr="00F66C80" w:rsidRDefault="009E3E53" w:rsidP="009E3E53">
      <w:pPr>
        <w:pStyle w:val="Paragraphedeliste"/>
        <w:numPr>
          <w:ilvl w:val="0"/>
          <w:numId w:val="4"/>
        </w:numPr>
        <w:spacing w:after="0" w:line="240" w:lineRule="auto"/>
        <w:ind w:firstLine="567"/>
        <w:jc w:val="center"/>
        <w:rPr>
          <w:rFonts w:ascii="David" w:hAnsi="David" w:cs="David"/>
          <w:b/>
          <w:bCs/>
        </w:rPr>
      </w:pPr>
      <w:r w:rsidRPr="00F66C80">
        <w:rPr>
          <w:rFonts w:ascii="David" w:hAnsi="David" w:cs="David"/>
          <w:b/>
          <w:bCs/>
        </w:rPr>
        <w:t>Maîtriser le cadre légal de l’exercice des activités de l’agent immobilier</w:t>
      </w:r>
    </w:p>
    <w:p w14:paraId="209FC96C" w14:textId="77777777" w:rsidR="009E3E53" w:rsidRPr="00F66C80" w:rsidRDefault="009E3E53" w:rsidP="009E3E53">
      <w:pPr>
        <w:numPr>
          <w:ilvl w:val="0"/>
          <w:numId w:val="4"/>
        </w:numPr>
        <w:spacing w:after="0" w:line="276" w:lineRule="auto"/>
        <w:ind w:firstLine="567"/>
        <w:jc w:val="center"/>
        <w:rPr>
          <w:rFonts w:ascii="David" w:hAnsi="David" w:cs="David"/>
          <w:b/>
          <w:bCs/>
          <w:sz w:val="24"/>
          <w:szCs w:val="24"/>
        </w:rPr>
      </w:pPr>
      <w:r w:rsidRPr="00F66C80">
        <w:rPr>
          <w:rFonts w:ascii="David" w:hAnsi="David" w:cs="David"/>
          <w:b/>
          <w:bCs/>
          <w:sz w:val="24"/>
          <w:szCs w:val="24"/>
        </w:rPr>
        <w:t>Connaître les règles déontologiques et éthiques de cette activité</w:t>
      </w:r>
      <w:r>
        <w:rPr>
          <w:rFonts w:ascii="David" w:hAnsi="David" w:cs="David"/>
          <w:b/>
          <w:bCs/>
          <w:sz w:val="24"/>
          <w:szCs w:val="24"/>
        </w:rPr>
        <w:t xml:space="preserve"> (trois heures)</w:t>
      </w:r>
    </w:p>
    <w:p w14:paraId="2CFEF26D" w14:textId="77777777" w:rsidR="009E3E53" w:rsidRDefault="009E3E53" w:rsidP="009E3E53">
      <w:pPr>
        <w:numPr>
          <w:ilvl w:val="0"/>
          <w:numId w:val="4"/>
        </w:numPr>
        <w:spacing w:after="0" w:line="276" w:lineRule="auto"/>
        <w:ind w:firstLine="567"/>
        <w:jc w:val="center"/>
        <w:rPr>
          <w:rFonts w:ascii="David" w:hAnsi="David" w:cs="David"/>
          <w:b/>
          <w:bCs/>
          <w:sz w:val="24"/>
          <w:szCs w:val="24"/>
        </w:rPr>
      </w:pPr>
      <w:r w:rsidRPr="00F66C80">
        <w:rPr>
          <w:rFonts w:ascii="David" w:hAnsi="David" w:cs="David"/>
          <w:b/>
          <w:bCs/>
          <w:sz w:val="24"/>
          <w:szCs w:val="24"/>
        </w:rPr>
        <w:t>Maitriser tous les mécanismes de lutte</w:t>
      </w:r>
      <w:r>
        <w:rPr>
          <w:rFonts w:ascii="David" w:hAnsi="David" w:cs="David"/>
          <w:b/>
          <w:bCs/>
          <w:sz w:val="24"/>
          <w:szCs w:val="24"/>
        </w:rPr>
        <w:t xml:space="preserve"> et de prévention </w:t>
      </w:r>
      <w:r w:rsidRPr="00F66C80">
        <w:rPr>
          <w:rFonts w:ascii="David" w:hAnsi="David" w:cs="David"/>
          <w:b/>
          <w:bCs/>
          <w:sz w:val="24"/>
          <w:szCs w:val="24"/>
        </w:rPr>
        <w:t>contre le blanchiment d’argent</w:t>
      </w:r>
      <w:r>
        <w:rPr>
          <w:rFonts w:ascii="David" w:hAnsi="David" w:cs="David"/>
          <w:b/>
          <w:bCs/>
          <w:sz w:val="24"/>
          <w:szCs w:val="24"/>
        </w:rPr>
        <w:t xml:space="preserve"> (deux heures) dans le domaine de l’immobilier </w:t>
      </w:r>
      <w:r w:rsidRPr="002154FC">
        <w:rPr>
          <w:rFonts w:ascii="David" w:hAnsi="David" w:cs="David"/>
          <w:b/>
          <w:bCs/>
          <w:sz w:val="24"/>
          <w:szCs w:val="24"/>
        </w:rPr>
        <w:t>e</w:t>
      </w:r>
      <w:r>
        <w:rPr>
          <w:rFonts w:ascii="David" w:hAnsi="David" w:cs="David"/>
          <w:b/>
          <w:bCs/>
          <w:sz w:val="24"/>
          <w:szCs w:val="24"/>
        </w:rPr>
        <w:t xml:space="preserve">t la lutte contre la discrimination pour l’accès au logement (deux heures) </w:t>
      </w:r>
    </w:p>
    <w:p w14:paraId="4BA7104C" w14:textId="77777777" w:rsidR="009E3E53" w:rsidRPr="00F66C80" w:rsidRDefault="009E3E53" w:rsidP="009E3E53">
      <w:pPr>
        <w:spacing w:after="0"/>
        <w:rPr>
          <w:rFonts w:ascii="David" w:eastAsia="Batang" w:hAnsi="David" w:cs="David"/>
          <w:b/>
          <w:bCs/>
          <w:sz w:val="24"/>
          <w:szCs w:val="24"/>
        </w:rPr>
      </w:pPr>
    </w:p>
    <w:p w14:paraId="6328FF23" w14:textId="77777777" w:rsidR="009E3E53" w:rsidRPr="002154FC" w:rsidRDefault="009E3E53" w:rsidP="009E3E53">
      <w:pPr>
        <w:spacing w:after="0"/>
        <w:ind w:firstLine="567"/>
        <w:jc w:val="center"/>
        <w:rPr>
          <w:rFonts w:ascii="David" w:eastAsia="Batang" w:hAnsi="David" w:cs="David"/>
          <w:sz w:val="24"/>
          <w:szCs w:val="24"/>
        </w:rPr>
      </w:pPr>
      <w:r w:rsidRPr="00243EEF">
        <w:rPr>
          <w:rFonts w:ascii="David" w:eastAsia="Batang" w:hAnsi="David" w:cs="David"/>
          <w:b/>
          <w:bCs/>
          <w:sz w:val="24"/>
          <w:szCs w:val="24"/>
          <w:u w:val="single"/>
        </w:rPr>
        <w:t>Durée </w:t>
      </w:r>
      <w:r w:rsidRPr="00007C41">
        <w:rPr>
          <w:rFonts w:ascii="David" w:eastAsia="Batang" w:hAnsi="David" w:cs="David"/>
          <w:sz w:val="24"/>
          <w:szCs w:val="24"/>
        </w:rPr>
        <w:t xml:space="preserve">: </w:t>
      </w:r>
      <w:r w:rsidRPr="00F66C80">
        <w:rPr>
          <w:rFonts w:ascii="David" w:eastAsia="Batang" w:hAnsi="David" w:cs="David"/>
          <w:sz w:val="28"/>
          <w:szCs w:val="28"/>
        </w:rPr>
        <w:t>7 heures</w:t>
      </w:r>
    </w:p>
    <w:p w14:paraId="36D0BF27" w14:textId="77777777" w:rsidR="009E3E53" w:rsidRPr="00007C41" w:rsidRDefault="009E3E53" w:rsidP="009E3E53">
      <w:pPr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  <w:r w:rsidRPr="00007C41">
        <w:rPr>
          <w:rFonts w:ascii="David" w:hAnsi="David" w:cs="David"/>
          <w:b/>
          <w:bCs/>
          <w:sz w:val="24"/>
          <w:szCs w:val="24"/>
          <w:u w:val="double"/>
        </w:rPr>
        <w:t xml:space="preserve">PROGRAMME </w:t>
      </w:r>
      <w:r>
        <w:rPr>
          <w:rFonts w:ascii="David" w:hAnsi="David" w:cs="David"/>
          <w:b/>
          <w:bCs/>
          <w:sz w:val="24"/>
          <w:szCs w:val="24"/>
          <w:u w:val="double"/>
        </w:rPr>
        <w:t>détaillé et séquencé</w:t>
      </w:r>
    </w:p>
    <w:p w14:paraId="0142020E" w14:textId="77777777" w:rsidR="009E3E53" w:rsidRPr="00007C41" w:rsidRDefault="009E3E53" w:rsidP="009E3E53">
      <w:pPr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  <w:r>
        <w:rPr>
          <w:rFonts w:ascii="David" w:hAnsi="David" w:cs="David"/>
          <w:b/>
          <w:bCs/>
          <w:sz w:val="24"/>
          <w:szCs w:val="24"/>
          <w:u w:val="double"/>
        </w:rPr>
        <w:t>LE MATIN  9 H 30 – 12 H 30</w:t>
      </w:r>
    </w:p>
    <w:p w14:paraId="5C55801E" w14:textId="77777777" w:rsidR="009E3E53" w:rsidRPr="00007C41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ind w:left="1134" w:firstLine="0"/>
        <w:rPr>
          <w:rFonts w:ascii="David" w:hAnsi="David" w:cs="David"/>
          <w:u w:val="double"/>
        </w:rPr>
      </w:pPr>
      <w:r w:rsidRPr="00007C41">
        <w:rPr>
          <w:rFonts w:ascii="David" w:hAnsi="David" w:cs="David"/>
          <w:u w:val="double"/>
        </w:rPr>
        <w:t>La loi HOGUET</w:t>
      </w:r>
      <w:r>
        <w:rPr>
          <w:rFonts w:ascii="David" w:hAnsi="David" w:cs="David"/>
          <w:u w:val="double"/>
        </w:rPr>
        <w:t> </w:t>
      </w:r>
      <w:r w:rsidRPr="00007C41">
        <w:rPr>
          <w:rFonts w:ascii="David" w:hAnsi="David" w:cs="David"/>
          <w:u w:val="double"/>
        </w:rPr>
        <w:t xml:space="preserve">: conditions d’accès et conditions d’exercice de la profession </w:t>
      </w:r>
    </w:p>
    <w:p w14:paraId="5720DF1B" w14:textId="77777777" w:rsidR="009E3E53" w:rsidRPr="00007C41" w:rsidRDefault="009E3E53" w:rsidP="009E3E53">
      <w:pPr>
        <w:pStyle w:val="Paragraphedeliste"/>
        <w:ind w:left="1134"/>
        <w:rPr>
          <w:rFonts w:ascii="David" w:hAnsi="David" w:cs="David"/>
        </w:rPr>
      </w:pPr>
      <w:r w:rsidRPr="00007C41">
        <w:rPr>
          <w:rFonts w:ascii="David" w:hAnsi="David" w:cs="David"/>
        </w:rPr>
        <w:t xml:space="preserve">Rappel des règles relatives aux mandants </w:t>
      </w:r>
    </w:p>
    <w:p w14:paraId="231BFCCE" w14:textId="77777777" w:rsidR="009E3E53" w:rsidRPr="00007C41" w:rsidRDefault="009E3E53" w:rsidP="009E3E53">
      <w:pPr>
        <w:pStyle w:val="Paragraphedeliste"/>
        <w:ind w:left="1134"/>
        <w:rPr>
          <w:rFonts w:ascii="David" w:hAnsi="David" w:cs="David"/>
        </w:rPr>
      </w:pPr>
      <w:r w:rsidRPr="00A758DC">
        <w:rPr>
          <w:rFonts w:ascii="David" w:hAnsi="David" w:cs="David"/>
        </w:rPr>
        <w:t>Les cartes professionnelles</w:t>
      </w:r>
      <w:r>
        <w:rPr>
          <w:rFonts w:ascii="David" w:hAnsi="David" w:cs="David"/>
        </w:rPr>
        <w:t> </w:t>
      </w:r>
      <w:r w:rsidRPr="00A758DC">
        <w:rPr>
          <w:rFonts w:ascii="David" w:hAnsi="David" w:cs="David"/>
        </w:rPr>
        <w:t>: obtention, renouvellement et gestion</w:t>
      </w:r>
    </w:p>
    <w:p w14:paraId="03BE3731" w14:textId="77777777" w:rsidR="009E3E53" w:rsidRPr="00007C41" w:rsidRDefault="009E3E53" w:rsidP="009E3E53">
      <w:pPr>
        <w:pStyle w:val="Paragraphedeliste"/>
        <w:numPr>
          <w:ilvl w:val="1"/>
          <w:numId w:val="5"/>
        </w:numPr>
        <w:spacing w:after="0" w:line="240" w:lineRule="auto"/>
        <w:ind w:left="1134" w:firstLine="0"/>
        <w:rPr>
          <w:rFonts w:ascii="David" w:hAnsi="David" w:cs="David"/>
          <w:u w:val="double"/>
        </w:rPr>
      </w:pPr>
      <w:r w:rsidRPr="00007C41">
        <w:rPr>
          <w:rFonts w:ascii="David" w:hAnsi="David" w:cs="David"/>
          <w:u w:val="double"/>
        </w:rPr>
        <w:t>Le Conseil National de la Transaction et de la Gestion Immobilière (CNTGI)</w:t>
      </w:r>
    </w:p>
    <w:p w14:paraId="335809CD" w14:textId="77777777" w:rsidR="009E3E53" w:rsidRPr="00007C41" w:rsidRDefault="009E3E53" w:rsidP="009E3E53">
      <w:pPr>
        <w:pStyle w:val="Paragraphedeliste"/>
        <w:numPr>
          <w:ilvl w:val="1"/>
          <w:numId w:val="5"/>
        </w:numPr>
        <w:spacing w:after="0" w:line="240" w:lineRule="auto"/>
        <w:ind w:left="1134" w:firstLine="0"/>
        <w:rPr>
          <w:rFonts w:ascii="David" w:hAnsi="David" w:cs="David"/>
          <w:u w:val="double"/>
        </w:rPr>
      </w:pPr>
      <w:r w:rsidRPr="00007C41">
        <w:rPr>
          <w:rFonts w:ascii="David" w:hAnsi="David" w:cs="David"/>
          <w:u w:val="double"/>
        </w:rPr>
        <w:t xml:space="preserve">Qu’est-ce que la déontologie et l’éthique professionnelle. </w:t>
      </w:r>
    </w:p>
    <w:p w14:paraId="537CBD63" w14:textId="77777777" w:rsidR="009E3E53" w:rsidRDefault="009E3E53" w:rsidP="009E3E53">
      <w:pPr>
        <w:spacing w:after="0"/>
        <w:ind w:left="1134"/>
        <w:rPr>
          <w:rFonts w:ascii="David" w:hAnsi="David" w:cs="David"/>
        </w:rPr>
      </w:pPr>
      <w:r w:rsidRPr="00007C41">
        <w:rPr>
          <w:rFonts w:ascii="David" w:hAnsi="David" w:cs="David"/>
        </w:rPr>
        <w:t>Exercer avec conscience, dignité, loyauté, sincérité et probité</w:t>
      </w:r>
    </w:p>
    <w:p w14:paraId="737A567A" w14:textId="77777777" w:rsidR="009E3E53" w:rsidRPr="00007C41" w:rsidRDefault="009E3E53" w:rsidP="009E3E53">
      <w:pPr>
        <w:spacing w:after="0"/>
        <w:ind w:left="1134"/>
        <w:rPr>
          <w:rFonts w:ascii="David" w:hAnsi="David" w:cs="David"/>
        </w:rPr>
      </w:pPr>
      <w:r w:rsidRPr="00007C41">
        <w:rPr>
          <w:rFonts w:ascii="David" w:hAnsi="David" w:cs="David"/>
        </w:rPr>
        <w:t>Préserver et véhiculer la meilleure image de la profession</w:t>
      </w:r>
    </w:p>
    <w:p w14:paraId="37548C85" w14:textId="77777777" w:rsidR="009E3E53" w:rsidRDefault="009E3E53" w:rsidP="009E3E53">
      <w:pPr>
        <w:spacing w:after="0"/>
        <w:ind w:left="1134"/>
        <w:rPr>
          <w:rFonts w:ascii="David" w:hAnsi="David" w:cs="David"/>
        </w:rPr>
      </w:pPr>
      <w:r w:rsidRPr="00007C41">
        <w:rPr>
          <w:rFonts w:ascii="David" w:hAnsi="David" w:cs="David"/>
        </w:rPr>
        <w:t>Cultiver l’exemplarité professionnelle</w:t>
      </w:r>
    </w:p>
    <w:p w14:paraId="419F8A15" w14:textId="77777777" w:rsidR="009E3E53" w:rsidRDefault="009E3E53" w:rsidP="009E3E53">
      <w:pPr>
        <w:spacing w:after="0"/>
        <w:ind w:left="1134"/>
        <w:rPr>
          <w:rFonts w:ascii="David" w:hAnsi="David" w:cs="David"/>
        </w:rPr>
      </w:pPr>
    </w:p>
    <w:p w14:paraId="20811136" w14:textId="77777777" w:rsidR="009E3E53" w:rsidRDefault="009E3E53" w:rsidP="009E3E53">
      <w:pPr>
        <w:spacing w:after="0"/>
        <w:ind w:left="1134"/>
        <w:rPr>
          <w:rFonts w:ascii="David" w:hAnsi="David" w:cs="David"/>
        </w:rPr>
      </w:pPr>
    </w:p>
    <w:p w14:paraId="127E0655" w14:textId="77777777" w:rsidR="009E3E53" w:rsidRDefault="009E3E53" w:rsidP="009E3E53">
      <w:pPr>
        <w:spacing w:after="0"/>
        <w:ind w:left="1134"/>
        <w:rPr>
          <w:rFonts w:ascii="David" w:hAnsi="David" w:cs="David"/>
        </w:rPr>
      </w:pPr>
    </w:p>
    <w:p w14:paraId="07C5A9D3" w14:textId="77777777" w:rsidR="009E3E53" w:rsidRDefault="009E3E53" w:rsidP="009E3E53">
      <w:pPr>
        <w:spacing w:after="0"/>
        <w:ind w:left="1134"/>
        <w:rPr>
          <w:rFonts w:ascii="David" w:hAnsi="David" w:cs="David"/>
        </w:rPr>
      </w:pPr>
    </w:p>
    <w:p w14:paraId="4510A6F2" w14:textId="77777777" w:rsidR="009E3E53" w:rsidRPr="00A00FCB" w:rsidRDefault="009E3E53" w:rsidP="009E3E53">
      <w:pPr>
        <w:spacing w:after="0"/>
        <w:ind w:left="1134"/>
        <w:rPr>
          <w:rFonts w:ascii="David" w:hAnsi="David" w:cs="David"/>
          <w:b/>
          <w:bCs/>
          <w:u w:val="single"/>
        </w:rPr>
      </w:pPr>
      <w:r w:rsidRPr="00A00FCB">
        <w:rPr>
          <w:rFonts w:ascii="David" w:hAnsi="David" w:cs="David"/>
          <w:b/>
          <w:bCs/>
          <w:u w:val="single"/>
        </w:rPr>
        <w:t>PROGRAMME SUITE</w:t>
      </w:r>
      <w:r>
        <w:rPr>
          <w:rFonts w:ascii="David" w:hAnsi="David" w:cs="David"/>
          <w:b/>
          <w:bCs/>
          <w:u w:val="single"/>
        </w:rPr>
        <w:t> </w:t>
      </w:r>
      <w:r w:rsidRPr="00A00FCB">
        <w:rPr>
          <w:rFonts w:ascii="David" w:hAnsi="David" w:cs="David"/>
          <w:b/>
          <w:bCs/>
          <w:u w:val="single"/>
        </w:rPr>
        <w:t xml:space="preserve">: </w:t>
      </w:r>
    </w:p>
    <w:p w14:paraId="2AE15A99" w14:textId="77777777" w:rsidR="009E3E53" w:rsidRDefault="009E3E53" w:rsidP="009E3E53">
      <w:pPr>
        <w:spacing w:after="0"/>
        <w:ind w:left="1134"/>
        <w:rPr>
          <w:rFonts w:ascii="David" w:hAnsi="David" w:cs="David"/>
        </w:rPr>
      </w:pPr>
    </w:p>
    <w:p w14:paraId="225D5A67" w14:textId="77777777" w:rsidR="009E3E53" w:rsidRPr="00007C41" w:rsidRDefault="009E3E53" w:rsidP="009E3E53">
      <w:pPr>
        <w:spacing w:after="0"/>
        <w:ind w:left="1134"/>
        <w:rPr>
          <w:rFonts w:ascii="David" w:hAnsi="David" w:cs="David"/>
        </w:rPr>
      </w:pPr>
      <w:r w:rsidRPr="00007C41">
        <w:rPr>
          <w:rFonts w:ascii="David" w:hAnsi="David" w:cs="David"/>
        </w:rPr>
        <w:t>Respecter les lois et règlements</w:t>
      </w:r>
    </w:p>
    <w:p w14:paraId="7261EB72" w14:textId="77777777" w:rsidR="009E3E53" w:rsidRDefault="009E3E53" w:rsidP="009E3E53">
      <w:pPr>
        <w:spacing w:after="0"/>
        <w:ind w:left="1134"/>
        <w:rPr>
          <w:rFonts w:ascii="David" w:hAnsi="David" w:cs="David"/>
        </w:rPr>
      </w:pPr>
      <w:r w:rsidRPr="00007C41">
        <w:rPr>
          <w:rFonts w:ascii="David" w:hAnsi="David" w:cs="David"/>
        </w:rPr>
        <w:t>Développer et renforcer la compétence professionnelle par une obligation de formation continue</w:t>
      </w:r>
    </w:p>
    <w:p w14:paraId="31925FF0" w14:textId="77777777" w:rsidR="009E3E53" w:rsidRDefault="009E3E53" w:rsidP="009E3E53">
      <w:pPr>
        <w:spacing w:after="0"/>
        <w:ind w:left="1134"/>
        <w:rPr>
          <w:rFonts w:ascii="David" w:hAnsi="David" w:cs="David"/>
        </w:rPr>
      </w:pPr>
    </w:p>
    <w:p w14:paraId="577746D7" w14:textId="77777777" w:rsidR="009E3E53" w:rsidRDefault="009E3E53" w:rsidP="009E3E53">
      <w:pPr>
        <w:spacing w:after="0"/>
        <w:ind w:left="1134"/>
        <w:rPr>
          <w:rFonts w:ascii="David" w:hAnsi="David" w:cs="David"/>
        </w:rPr>
      </w:pPr>
    </w:p>
    <w:p w14:paraId="15E578FB" w14:textId="77777777" w:rsidR="009E3E53" w:rsidRPr="00007C41" w:rsidRDefault="009E3E53" w:rsidP="009E3E53">
      <w:pPr>
        <w:spacing w:after="0"/>
        <w:ind w:left="1134"/>
        <w:rPr>
          <w:rFonts w:ascii="David" w:hAnsi="David" w:cs="David"/>
        </w:rPr>
      </w:pPr>
      <w:r w:rsidRPr="00007C41">
        <w:rPr>
          <w:rFonts w:ascii="David" w:hAnsi="David" w:cs="David"/>
        </w:rPr>
        <w:t>Capitaliser sur la transparence</w:t>
      </w:r>
      <w:r>
        <w:rPr>
          <w:rFonts w:ascii="David" w:hAnsi="David" w:cs="David"/>
        </w:rPr>
        <w:t> </w:t>
      </w:r>
      <w:r w:rsidRPr="00007C41">
        <w:rPr>
          <w:rFonts w:ascii="David" w:hAnsi="David" w:cs="David"/>
        </w:rPr>
        <w:t>: mandats et attestation d’habilitation</w:t>
      </w:r>
    </w:p>
    <w:p w14:paraId="1F5EE49E" w14:textId="77777777" w:rsidR="009E3E53" w:rsidRDefault="009E3E53" w:rsidP="009E3E53">
      <w:pPr>
        <w:jc w:val="center"/>
        <w:rPr>
          <w:rFonts w:ascii="David" w:hAnsi="David" w:cs="David"/>
          <w:u w:val="double"/>
        </w:rPr>
      </w:pPr>
    </w:p>
    <w:p w14:paraId="1675340E" w14:textId="77777777" w:rsidR="009E3E53" w:rsidRPr="00243EEF" w:rsidRDefault="009E3E53" w:rsidP="009E3E53">
      <w:pPr>
        <w:jc w:val="center"/>
        <w:rPr>
          <w:rFonts w:ascii="David" w:hAnsi="David" w:cs="David"/>
          <w:u w:val="double"/>
        </w:rPr>
      </w:pPr>
      <w:r>
        <w:rPr>
          <w:rFonts w:ascii="David" w:hAnsi="David" w:cs="David"/>
          <w:u w:val="double"/>
        </w:rPr>
        <w:t>APRES -MIDI 13h30 A 17 h 30</w:t>
      </w:r>
    </w:p>
    <w:p w14:paraId="295AA879" w14:textId="77777777" w:rsidR="009E3E53" w:rsidRPr="00007C41" w:rsidRDefault="009E3E53" w:rsidP="009E3E53">
      <w:pPr>
        <w:shd w:val="clear" w:color="auto" w:fill="FFFFFF"/>
        <w:spacing w:after="0" w:line="240" w:lineRule="auto"/>
        <w:ind w:left="1134"/>
        <w:rPr>
          <w:rFonts w:ascii="David" w:eastAsia="Times New Roman" w:hAnsi="David" w:cs="David"/>
          <w:color w:val="656253"/>
          <w:sz w:val="18"/>
          <w:szCs w:val="18"/>
          <w:lang w:eastAsia="fr-FR" w:bidi="he-IL"/>
        </w:rPr>
      </w:pPr>
    </w:p>
    <w:p w14:paraId="15FDE3F4" w14:textId="77777777" w:rsidR="009E3E53" w:rsidRPr="00007C41" w:rsidRDefault="009E3E53" w:rsidP="009E3E53">
      <w:pPr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  <w:r w:rsidRPr="00007C41">
        <w:rPr>
          <w:rFonts w:ascii="David" w:hAnsi="David" w:cs="David"/>
          <w:b/>
          <w:bCs/>
          <w:sz w:val="24"/>
          <w:szCs w:val="24"/>
          <w:u w:val="double"/>
        </w:rPr>
        <w:t>2éme partie : La lutte anti blanchiment d’argent</w:t>
      </w:r>
      <w:r>
        <w:rPr>
          <w:rFonts w:ascii="David" w:hAnsi="David" w:cs="David"/>
          <w:b/>
          <w:bCs/>
          <w:sz w:val="24"/>
          <w:szCs w:val="24"/>
          <w:u w:val="double"/>
        </w:rPr>
        <w:t xml:space="preserve"> ( deux heures) et  la lutte anti discrimination dans l’accès au logement » </w:t>
      </w:r>
    </w:p>
    <w:p w14:paraId="481ED1BF" w14:textId="77777777" w:rsidR="009E3E53" w:rsidRPr="002154FC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ind w:firstLine="567"/>
        <w:rPr>
          <w:rFonts w:ascii="David" w:hAnsi="David" w:cs="David"/>
          <w:u w:val="double"/>
        </w:rPr>
      </w:pPr>
      <w:r w:rsidRPr="00007C41">
        <w:rPr>
          <w:rFonts w:ascii="David" w:hAnsi="David" w:cs="David"/>
          <w:b/>
          <w:bCs/>
          <w:u w:val="double"/>
        </w:rPr>
        <w:t>La lutte anti blanchiment d’argent</w:t>
      </w:r>
      <w:r>
        <w:rPr>
          <w:rFonts w:ascii="David" w:hAnsi="David" w:cs="David"/>
          <w:b/>
          <w:bCs/>
          <w:u w:val="double"/>
        </w:rPr>
        <w:t xml:space="preserve"> ( deux heures)</w:t>
      </w:r>
    </w:p>
    <w:p w14:paraId="61615883" w14:textId="77777777" w:rsidR="009E3E53" w:rsidRPr="00F300BD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ind w:firstLine="567"/>
        <w:rPr>
          <w:rFonts w:ascii="David" w:hAnsi="David" w:cs="David"/>
        </w:rPr>
      </w:pPr>
      <w:r w:rsidRPr="00F300BD">
        <w:rPr>
          <w:rFonts w:ascii="David" w:hAnsi="David" w:cs="David"/>
        </w:rPr>
        <w:t xml:space="preserve">ENVIRONNEMENT LEGAL ET REGLEMENTAIRE </w:t>
      </w:r>
    </w:p>
    <w:p w14:paraId="6E8D8868" w14:textId="77777777" w:rsidR="009E3E53" w:rsidRPr="00007C41" w:rsidRDefault="009E3E53" w:rsidP="009E3E53">
      <w:pPr>
        <w:pStyle w:val="Paragraphedeliste"/>
        <w:ind w:left="3270"/>
        <w:rPr>
          <w:rFonts w:ascii="David" w:hAnsi="David" w:cs="David"/>
          <w:u w:val="double"/>
        </w:rPr>
      </w:pPr>
    </w:p>
    <w:p w14:paraId="46B6F06C" w14:textId="77777777" w:rsidR="009E3E53" w:rsidRPr="00007C41" w:rsidRDefault="009E3E53" w:rsidP="009E3E53">
      <w:pPr>
        <w:pStyle w:val="Paragraphedeliste"/>
        <w:ind w:left="2136" w:firstLine="567"/>
        <w:rPr>
          <w:rFonts w:ascii="David" w:hAnsi="David" w:cs="David"/>
        </w:rPr>
      </w:pPr>
      <w:r w:rsidRPr="00007C41">
        <w:rPr>
          <w:rFonts w:ascii="David" w:hAnsi="David" w:cs="David"/>
        </w:rPr>
        <w:t xml:space="preserve">Définitions Blanchiment Fraude fiscale </w:t>
      </w:r>
    </w:p>
    <w:p w14:paraId="733235C6" w14:textId="77777777" w:rsidR="009E3E53" w:rsidRPr="00007C41" w:rsidRDefault="009E3E53" w:rsidP="009E3E53">
      <w:pPr>
        <w:pStyle w:val="Paragraphedeliste"/>
        <w:ind w:left="2136" w:firstLine="567"/>
        <w:rPr>
          <w:rFonts w:ascii="David" w:hAnsi="David" w:cs="David"/>
        </w:rPr>
      </w:pPr>
      <w:r w:rsidRPr="00007C41">
        <w:rPr>
          <w:rFonts w:ascii="David" w:hAnsi="David" w:cs="David"/>
        </w:rPr>
        <w:t>Cadre réglementaire Code Monétaire et Financier Décret de 2009 Tracfin et les CRF (Cellules nationales de Renseignement Financier)</w:t>
      </w:r>
    </w:p>
    <w:p w14:paraId="6845E543" w14:textId="77777777" w:rsidR="009E3E53" w:rsidRPr="00007C41" w:rsidRDefault="009E3E53" w:rsidP="009E3E53">
      <w:pPr>
        <w:pStyle w:val="Paragraphedeliste"/>
        <w:ind w:left="2136" w:firstLine="567"/>
        <w:rPr>
          <w:rFonts w:ascii="David" w:hAnsi="David" w:cs="David"/>
        </w:rPr>
      </w:pPr>
    </w:p>
    <w:p w14:paraId="5C7930C0" w14:textId="77777777" w:rsidR="009E3E53" w:rsidRPr="00F300BD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ind w:firstLine="567"/>
        <w:rPr>
          <w:rFonts w:ascii="David" w:hAnsi="David" w:cs="David"/>
        </w:rPr>
      </w:pPr>
      <w:r w:rsidRPr="00F300BD">
        <w:rPr>
          <w:rFonts w:ascii="David" w:hAnsi="David" w:cs="David"/>
          <w:i/>
          <w:iCs/>
        </w:rPr>
        <w:t>LES PRINCIPALES OBLIGATIONS</w:t>
      </w:r>
    </w:p>
    <w:p w14:paraId="305027CB" w14:textId="77777777" w:rsidR="009E3E53" w:rsidRPr="00F300BD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ind w:firstLine="567"/>
        <w:rPr>
          <w:rFonts w:ascii="David" w:hAnsi="David" w:cs="David"/>
        </w:rPr>
      </w:pPr>
      <w:r w:rsidRPr="00F300BD">
        <w:rPr>
          <w:rFonts w:ascii="David" w:hAnsi="David" w:cs="David"/>
          <w:i/>
          <w:iCs/>
        </w:rPr>
        <w:t xml:space="preserve">Les formalités auprès de TRACFIN  </w:t>
      </w:r>
    </w:p>
    <w:p w14:paraId="0E135BC2" w14:textId="77777777" w:rsidR="009E3E53" w:rsidRPr="00007C41" w:rsidRDefault="009E3E53" w:rsidP="009E3E53">
      <w:pPr>
        <w:pStyle w:val="Paragraphedeliste"/>
        <w:ind w:left="2136" w:firstLine="567"/>
        <w:rPr>
          <w:rFonts w:ascii="David" w:hAnsi="David" w:cs="David"/>
        </w:rPr>
      </w:pPr>
      <w:r w:rsidRPr="00007C41">
        <w:rPr>
          <w:rFonts w:ascii="David" w:hAnsi="David" w:cs="David"/>
        </w:rPr>
        <w:t xml:space="preserve">Connaissance du client et du bénéficiaire effectif </w:t>
      </w:r>
    </w:p>
    <w:p w14:paraId="17B3E01F" w14:textId="77777777" w:rsidR="009E3E53" w:rsidRPr="00007C41" w:rsidRDefault="009E3E53" w:rsidP="009E3E53">
      <w:pPr>
        <w:pStyle w:val="Paragraphedeliste"/>
        <w:ind w:left="2136" w:firstLine="567"/>
        <w:rPr>
          <w:rFonts w:ascii="David" w:hAnsi="David" w:cs="David"/>
        </w:rPr>
      </w:pPr>
      <w:r w:rsidRPr="00007C41">
        <w:rPr>
          <w:rFonts w:ascii="David" w:hAnsi="David" w:cs="David"/>
        </w:rPr>
        <w:t>Connaissance des opérations du client</w:t>
      </w:r>
    </w:p>
    <w:p w14:paraId="6AA9B30A" w14:textId="77777777" w:rsidR="009E3E53" w:rsidRPr="00F300BD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ind w:firstLine="567"/>
        <w:rPr>
          <w:rFonts w:ascii="David" w:hAnsi="David" w:cs="David"/>
        </w:rPr>
      </w:pPr>
      <w:r w:rsidRPr="00F300BD">
        <w:rPr>
          <w:rFonts w:ascii="David" w:hAnsi="David" w:cs="David"/>
        </w:rPr>
        <w:t xml:space="preserve">OBLIGATION DE VIGILANCE </w:t>
      </w:r>
    </w:p>
    <w:p w14:paraId="0B46862A" w14:textId="77777777" w:rsidR="009E3E53" w:rsidRPr="00007C41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ind w:firstLine="567"/>
        <w:rPr>
          <w:rFonts w:ascii="David" w:hAnsi="David" w:cs="David"/>
        </w:rPr>
      </w:pPr>
      <w:r w:rsidRPr="00007C41">
        <w:rPr>
          <w:rFonts w:ascii="David" w:hAnsi="David" w:cs="David"/>
        </w:rPr>
        <w:t>Déclaration de soupçon</w:t>
      </w:r>
    </w:p>
    <w:p w14:paraId="2B95B294" w14:textId="77777777" w:rsidR="009E3E53" w:rsidRPr="00007C41" w:rsidRDefault="009E3E53" w:rsidP="009E3E53">
      <w:pPr>
        <w:pStyle w:val="Paragraphedeliste"/>
        <w:ind w:left="2136" w:firstLine="567"/>
        <w:rPr>
          <w:rFonts w:ascii="David" w:hAnsi="David" w:cs="David"/>
        </w:rPr>
      </w:pPr>
      <w:r w:rsidRPr="00007C41">
        <w:rPr>
          <w:rFonts w:ascii="David" w:hAnsi="David" w:cs="David"/>
        </w:rPr>
        <w:t>Modalités d’exécution</w:t>
      </w:r>
    </w:p>
    <w:p w14:paraId="28F0AFE2" w14:textId="77777777" w:rsidR="009E3E53" w:rsidRPr="00007C41" w:rsidRDefault="009E3E53" w:rsidP="009E3E53">
      <w:pPr>
        <w:pStyle w:val="Paragraphedeliste"/>
        <w:ind w:left="2136" w:firstLine="567"/>
        <w:rPr>
          <w:rFonts w:ascii="David" w:hAnsi="David" w:cs="David"/>
        </w:rPr>
      </w:pPr>
      <w:r w:rsidRPr="00102DD8">
        <w:rPr>
          <w:rFonts w:ascii="David" w:hAnsi="David" w:cs="David"/>
        </w:rPr>
        <w:t>La protection du déclarant</w:t>
      </w:r>
    </w:p>
    <w:p w14:paraId="34983BF5" w14:textId="77777777" w:rsidR="009E3E53" w:rsidRPr="00F300BD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ind w:firstLine="567"/>
        <w:rPr>
          <w:rFonts w:ascii="David" w:hAnsi="David" w:cs="David"/>
        </w:rPr>
      </w:pPr>
      <w:r w:rsidRPr="00F300BD">
        <w:rPr>
          <w:rFonts w:ascii="David" w:hAnsi="David" w:cs="David"/>
        </w:rPr>
        <w:t xml:space="preserve">RESPONSABILITE CIVILE ET PENALE DE L’AGENT IMMOBILIER </w:t>
      </w:r>
    </w:p>
    <w:p w14:paraId="4F40EB16" w14:textId="77777777" w:rsidR="009E3E53" w:rsidRDefault="009E3E53" w:rsidP="009E3E53">
      <w:pPr>
        <w:pStyle w:val="Paragraphedeliste"/>
        <w:ind w:left="3270"/>
        <w:rPr>
          <w:rFonts w:ascii="David" w:hAnsi="David" w:cs="David"/>
          <w:u w:val="double"/>
        </w:rPr>
      </w:pPr>
    </w:p>
    <w:p w14:paraId="088796F8" w14:textId="77777777" w:rsidR="009E3E53" w:rsidRPr="002154FC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jc w:val="center"/>
        <w:rPr>
          <w:rFonts w:ascii="David" w:hAnsi="David" w:cs="David"/>
          <w:b/>
          <w:bCs/>
          <w:u w:val="double"/>
        </w:rPr>
      </w:pPr>
      <w:r w:rsidRPr="002154FC">
        <w:rPr>
          <w:rFonts w:ascii="David" w:hAnsi="David" w:cs="David"/>
          <w:b/>
          <w:bCs/>
          <w:u w:val="double"/>
        </w:rPr>
        <w:t>la lutte anti discrimination dans l’accès au logement </w:t>
      </w:r>
      <w:r>
        <w:rPr>
          <w:rFonts w:ascii="David" w:hAnsi="David" w:cs="David"/>
          <w:b/>
          <w:bCs/>
          <w:u w:val="double"/>
        </w:rPr>
        <w:t xml:space="preserve">(deux heures) </w:t>
      </w:r>
    </w:p>
    <w:p w14:paraId="54B751C1" w14:textId="77777777" w:rsidR="009E3E53" w:rsidRDefault="009E3E53" w:rsidP="009E3E53">
      <w:pPr>
        <w:pStyle w:val="Paragraphedeliste"/>
        <w:ind w:left="3270"/>
        <w:rPr>
          <w:rFonts w:ascii="David" w:hAnsi="David" w:cs="David"/>
          <w:u w:val="double"/>
        </w:rPr>
      </w:pPr>
    </w:p>
    <w:p w14:paraId="17C832A8" w14:textId="77777777" w:rsidR="009E3E53" w:rsidRPr="00F300BD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ind w:firstLine="567"/>
        <w:rPr>
          <w:rFonts w:ascii="David" w:hAnsi="David" w:cs="David"/>
        </w:rPr>
      </w:pPr>
      <w:r w:rsidRPr="00F300BD">
        <w:rPr>
          <w:rFonts w:ascii="David" w:hAnsi="David" w:cs="David"/>
        </w:rPr>
        <w:t xml:space="preserve">ENVIRONNEMENT LEGAL ET REGLEMENTAIRE </w:t>
      </w:r>
    </w:p>
    <w:p w14:paraId="764C0CD4" w14:textId="77777777" w:rsidR="009E3E53" w:rsidRPr="00F300BD" w:rsidRDefault="009E3E53" w:rsidP="009E3E53">
      <w:pPr>
        <w:pStyle w:val="Paragraphedeliste"/>
        <w:rPr>
          <w:rFonts w:ascii="David" w:hAnsi="David" w:cs="David"/>
        </w:rPr>
      </w:pPr>
    </w:p>
    <w:p w14:paraId="5E950AE3" w14:textId="77777777" w:rsidR="009E3E53" w:rsidRPr="00F300BD" w:rsidRDefault="009E3E53" w:rsidP="009E3E53">
      <w:pPr>
        <w:pStyle w:val="Paragraphedeliste"/>
        <w:numPr>
          <w:ilvl w:val="0"/>
          <w:numId w:val="5"/>
        </w:numPr>
        <w:spacing w:after="0" w:line="240" w:lineRule="auto"/>
        <w:ind w:firstLine="567"/>
        <w:rPr>
          <w:rFonts w:ascii="David" w:hAnsi="David" w:cs="David"/>
        </w:rPr>
      </w:pPr>
      <w:r w:rsidRPr="00F300BD">
        <w:rPr>
          <w:rFonts w:ascii="David" w:hAnsi="David" w:cs="David"/>
        </w:rPr>
        <w:t>RESPONSABILITE CIVILE ET PENALE DE L’AGENT IMMOBILIER</w:t>
      </w:r>
    </w:p>
    <w:p w14:paraId="16CF99A2" w14:textId="77777777" w:rsidR="009E3E53" w:rsidRPr="00007C41" w:rsidRDefault="009E3E53" w:rsidP="009E3E53">
      <w:pPr>
        <w:shd w:val="clear" w:color="auto" w:fill="FFFFFF"/>
        <w:spacing w:after="0" w:line="240" w:lineRule="auto"/>
        <w:rPr>
          <w:rFonts w:ascii="David" w:eastAsia="Times New Roman" w:hAnsi="David" w:cs="David"/>
          <w:b/>
          <w:bCs/>
          <w:color w:val="656253"/>
          <w:sz w:val="18"/>
          <w:szCs w:val="18"/>
          <w:u w:val="double"/>
          <w:lang w:eastAsia="fr-FR" w:bidi="he-IL"/>
        </w:rPr>
      </w:pPr>
    </w:p>
    <w:p w14:paraId="3545964C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49A3AF29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278391A9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7D77CB18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77B75B97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5041A412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014015E4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12948D05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67F2AD57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63F0D49B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29193958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47B9A22F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378FCE46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</w:p>
    <w:p w14:paraId="22E92E2C" w14:textId="77777777" w:rsidR="009E3E53" w:rsidRDefault="009E3E53" w:rsidP="009E3E53">
      <w:pPr>
        <w:spacing w:after="0"/>
        <w:ind w:firstLine="567"/>
        <w:jc w:val="center"/>
        <w:rPr>
          <w:rFonts w:ascii="David" w:hAnsi="David" w:cs="David"/>
          <w:b/>
          <w:bCs/>
          <w:sz w:val="24"/>
          <w:szCs w:val="24"/>
          <w:u w:val="double"/>
        </w:rPr>
      </w:pPr>
      <w:r w:rsidRPr="00F66C80">
        <w:rPr>
          <w:rFonts w:ascii="David" w:hAnsi="David" w:cs="David"/>
          <w:b/>
          <w:bCs/>
          <w:sz w:val="24"/>
          <w:szCs w:val="24"/>
          <w:u w:val="double"/>
        </w:rPr>
        <w:t>METHODOLOGIE</w:t>
      </w:r>
    </w:p>
    <w:p w14:paraId="669D002F" w14:textId="77777777" w:rsidR="009E3E53" w:rsidRPr="00857C38" w:rsidRDefault="009E3E53" w:rsidP="009E3E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fr-FR" w:bidi="he-IL"/>
        </w:rPr>
      </w:pPr>
      <w:r w:rsidRPr="006A10B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 w:bidi="he-IL"/>
        </w:rPr>
        <w:lastRenderedPageBreak/>
        <w:t>les moyens pédagogiques, techniques et d’encadrement ;</w:t>
      </w:r>
    </w:p>
    <w:p w14:paraId="301CFFBD" w14:textId="77777777" w:rsidR="009E3E53" w:rsidRPr="00857C38" w:rsidRDefault="009E3E53" w:rsidP="009E3E53">
      <w:pPr>
        <w:pStyle w:val="Paragraphedeliste"/>
        <w:rPr>
          <w:rFonts w:ascii="David" w:hAnsi="David" w:cs="David"/>
          <w:b/>
          <w:bCs/>
        </w:rPr>
      </w:pPr>
      <w:r w:rsidRPr="00857C38">
        <w:rPr>
          <w:rFonts w:ascii="David" w:hAnsi="David" w:cs="David"/>
          <w:b/>
          <w:bCs/>
        </w:rPr>
        <w:t>Analyse et utilisation des mandats –des documents annexes</w:t>
      </w:r>
    </w:p>
    <w:p w14:paraId="638BC861" w14:textId="77777777" w:rsidR="009E3E53" w:rsidRPr="00857C38" w:rsidRDefault="009E3E53" w:rsidP="009E3E53">
      <w:pPr>
        <w:pStyle w:val="Paragraphedeliste"/>
        <w:rPr>
          <w:rFonts w:ascii="David" w:hAnsi="David" w:cs="David"/>
          <w:b/>
          <w:bCs/>
        </w:rPr>
      </w:pPr>
      <w:r w:rsidRPr="00857C38">
        <w:rPr>
          <w:rFonts w:ascii="David" w:hAnsi="David" w:cs="David"/>
          <w:b/>
          <w:bCs/>
        </w:rPr>
        <w:t>Jurisprudences récentes et exemples concrets – cas pratiques –</w:t>
      </w:r>
    </w:p>
    <w:p w14:paraId="04931F76" w14:textId="77777777" w:rsidR="009E3E53" w:rsidRDefault="009E3E53" w:rsidP="009E3E53">
      <w:pPr>
        <w:pStyle w:val="Paragraphedeliste"/>
        <w:shd w:val="clear" w:color="auto" w:fill="FFFFFF"/>
        <w:rPr>
          <w:rFonts w:ascii="David" w:hAnsi="David" w:cs="David"/>
          <w:b/>
          <w:bCs/>
        </w:rPr>
      </w:pPr>
      <w:proofErr w:type="spellStart"/>
      <w:r w:rsidRPr="00857C38">
        <w:rPr>
          <w:rFonts w:ascii="David" w:hAnsi="David" w:cs="David"/>
          <w:b/>
          <w:bCs/>
        </w:rPr>
        <w:t>Evaluations</w:t>
      </w:r>
      <w:proofErr w:type="spellEnd"/>
      <w:r w:rsidRPr="00857C38">
        <w:rPr>
          <w:rFonts w:ascii="David" w:hAnsi="David" w:cs="David"/>
          <w:b/>
          <w:bCs/>
        </w:rPr>
        <w:t xml:space="preserve"> orales des participants</w:t>
      </w:r>
    </w:p>
    <w:p w14:paraId="1B2AACC3" w14:textId="77777777" w:rsidR="009E3E53" w:rsidRPr="006A10B1" w:rsidRDefault="009E3E53" w:rsidP="009E3E53">
      <w:pPr>
        <w:pStyle w:val="Paragraphedeliste"/>
        <w:shd w:val="clear" w:color="auto" w:fill="FFFFFF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</w:rPr>
        <w:t xml:space="preserve">Vérification du respect des obligations légales – sites internet affichages- annonces </w:t>
      </w:r>
    </w:p>
    <w:p w14:paraId="4F3285D6" w14:textId="77777777" w:rsidR="009E3E53" w:rsidRPr="00857C38" w:rsidRDefault="009E3E53" w:rsidP="009E3E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fr-FR" w:bidi="he-IL"/>
        </w:rPr>
      </w:pPr>
      <w:r w:rsidRPr="006A10B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fr-FR" w:bidi="he-IL"/>
        </w:rPr>
        <w:t>les modalités de suivi de l’exécution du programme et d'appréciation des résultats</w:t>
      </w:r>
    </w:p>
    <w:p w14:paraId="60454A24" w14:textId="77777777" w:rsidR="009E3E53" w:rsidRPr="002154FC" w:rsidRDefault="009E3E53" w:rsidP="009E3E53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David" w:hAnsi="David" w:cs="David"/>
          <w:b/>
          <w:bCs/>
        </w:rPr>
      </w:pPr>
      <w:r w:rsidRPr="00857C38">
        <w:rPr>
          <w:rFonts w:ascii="David" w:hAnsi="David" w:cs="David"/>
          <w:b/>
          <w:bCs/>
        </w:rPr>
        <w:t>Signatures des feuilles de présence</w:t>
      </w:r>
    </w:p>
    <w:p w14:paraId="5D3A3A64" w14:textId="77777777" w:rsidR="009E3E53" w:rsidRPr="00857C38" w:rsidRDefault="009E3E53" w:rsidP="009E3E53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</w:rPr>
        <w:t xml:space="preserve">Évaluation de la formation au moyen de la feuille d’évaluation et notation </w:t>
      </w:r>
    </w:p>
    <w:p w14:paraId="1DDEFD13" w14:textId="77777777" w:rsidR="009E3E53" w:rsidRPr="002154FC" w:rsidRDefault="009E3E53" w:rsidP="009E3E53">
      <w:pPr>
        <w:pStyle w:val="Paragraphedeliste"/>
        <w:numPr>
          <w:ilvl w:val="0"/>
          <w:numId w:val="6"/>
        </w:numPr>
        <w:shd w:val="clear" w:color="auto" w:fill="FFFFFF"/>
        <w:spacing w:after="0" w:line="240" w:lineRule="auto"/>
        <w:rPr>
          <w:rFonts w:ascii="David" w:hAnsi="David" w:cs="David"/>
          <w:b/>
          <w:bCs/>
        </w:rPr>
      </w:pPr>
      <w:r w:rsidRPr="00857C38">
        <w:rPr>
          <w:rFonts w:ascii="David" w:hAnsi="David" w:cs="David"/>
          <w:b/>
          <w:bCs/>
        </w:rPr>
        <w:t xml:space="preserve">- signatures des attestations de formation </w:t>
      </w:r>
    </w:p>
    <w:p w14:paraId="0E9F8737" w14:textId="77777777" w:rsidR="009E3E53" w:rsidRDefault="009E3E53" w:rsidP="009E3E53"/>
    <w:p w14:paraId="1912FD22" w14:textId="77777777" w:rsidR="009E3E53" w:rsidRDefault="009E3E53" w:rsidP="009E3E53"/>
    <w:p w14:paraId="1719399C" w14:textId="4E6A81D4" w:rsidR="007B044E" w:rsidRPr="0059168B" w:rsidRDefault="007B044E" w:rsidP="0059168B"/>
    <w:sectPr w:rsidR="007B044E" w:rsidRPr="0059168B" w:rsidSect="005916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758" w:bottom="709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19AB" w14:textId="77777777" w:rsidR="00530636" w:rsidRDefault="00530636">
      <w:pPr>
        <w:spacing w:after="0" w:line="240" w:lineRule="auto"/>
      </w:pPr>
      <w:r>
        <w:separator/>
      </w:r>
    </w:p>
  </w:endnote>
  <w:endnote w:type="continuationSeparator" w:id="0">
    <w:p w14:paraId="7E1940D7" w14:textId="77777777" w:rsidR="00530636" w:rsidRDefault="0053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7F67" w14:textId="77777777" w:rsidR="00157ED4" w:rsidRDefault="00157E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8996" w14:textId="77777777" w:rsidR="00E87AF5" w:rsidRPr="004563D2" w:rsidRDefault="0013400C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0D1707F4" w14:textId="37D52AA1" w:rsidR="00E87AF5" w:rsidRPr="004563D2" w:rsidRDefault="0013400C" w:rsidP="006075F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Déclaration d’activité enregistrée sous le numéro : </w:t>
    </w:r>
    <w:r w:rsidR="006075F7" w:rsidRPr="006075F7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: </w:t>
    </w:r>
    <w:r w:rsidR="006075F7" w:rsidRPr="006075F7">
      <w:rPr>
        <w:rFonts w:ascii="Times New Roman" w:hAnsi="Times New Roman" w:cs="Times New Roman"/>
        <w:sz w:val="16"/>
        <w:szCs w:val="16"/>
        <w:u w:val="single"/>
        <w:lang w:eastAsia="fr-FR"/>
      </w:rPr>
      <w:tab/>
      <w:t xml:space="preserve">93061116506 </w:t>
    </w:r>
    <w:r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 du préfet de la région Provence Alpes Côte d’Azur</w:t>
    </w:r>
  </w:p>
  <w:p w14:paraId="4798C18E" w14:textId="77777777" w:rsidR="00E87AF5" w:rsidRDefault="00E87A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C1F5" w14:textId="77777777" w:rsidR="00157ED4" w:rsidRDefault="00157E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1FB5" w14:textId="77777777" w:rsidR="00530636" w:rsidRDefault="00530636">
      <w:pPr>
        <w:spacing w:after="0" w:line="240" w:lineRule="auto"/>
      </w:pPr>
      <w:r>
        <w:separator/>
      </w:r>
    </w:p>
  </w:footnote>
  <w:footnote w:type="continuationSeparator" w:id="0">
    <w:p w14:paraId="6132883C" w14:textId="77777777" w:rsidR="00530636" w:rsidRDefault="00530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A3B8" w14:textId="77777777" w:rsidR="00157ED4" w:rsidRDefault="00157E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A0B0" w14:textId="45F696BA" w:rsidR="00E87AF5" w:rsidRPr="00866416" w:rsidRDefault="0013400C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79D7647D" w14:textId="77777777" w:rsidR="00E87AF5" w:rsidRPr="00866416" w:rsidRDefault="0013400C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573711EF" w14:textId="77777777" w:rsidR="00E87AF5" w:rsidRPr="00E743B9" w:rsidRDefault="0013400C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76B7E7D8" w14:textId="77777777" w:rsidR="00E87AF5" w:rsidRPr="004563D2" w:rsidRDefault="0013400C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08464A80" w14:textId="77777777" w:rsidR="00E87AF5" w:rsidRDefault="00E87A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0A7A" w14:textId="77777777" w:rsidR="00157ED4" w:rsidRDefault="00157E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23927"/>
    <w:multiLevelType w:val="hybridMultilevel"/>
    <w:tmpl w:val="58B81564"/>
    <w:lvl w:ilvl="0" w:tplc="040C0003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2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8D3C4F"/>
    <w:multiLevelType w:val="multilevel"/>
    <w:tmpl w:val="D2B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36FB0"/>
    <w:multiLevelType w:val="hybridMultilevel"/>
    <w:tmpl w:val="04186B24"/>
    <w:lvl w:ilvl="0" w:tplc="CFD48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23C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251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8E7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C4F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6A0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B8FC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0E3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CCC8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03114753">
    <w:abstractNumId w:val="3"/>
  </w:num>
  <w:num w:numId="2" w16cid:durableId="471869608">
    <w:abstractNumId w:val="2"/>
  </w:num>
  <w:num w:numId="3" w16cid:durableId="2051690044">
    <w:abstractNumId w:val="0"/>
  </w:num>
  <w:num w:numId="4" w16cid:durableId="53163487">
    <w:abstractNumId w:val="5"/>
  </w:num>
  <w:num w:numId="5" w16cid:durableId="1616136386">
    <w:abstractNumId w:val="1"/>
  </w:num>
  <w:num w:numId="6" w16cid:durableId="2066752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8B"/>
    <w:rsid w:val="0013400C"/>
    <w:rsid w:val="00157ED4"/>
    <w:rsid w:val="00326B64"/>
    <w:rsid w:val="00421985"/>
    <w:rsid w:val="00452101"/>
    <w:rsid w:val="00530636"/>
    <w:rsid w:val="0059168B"/>
    <w:rsid w:val="005D181E"/>
    <w:rsid w:val="006075F7"/>
    <w:rsid w:val="007B044E"/>
    <w:rsid w:val="008575FC"/>
    <w:rsid w:val="009E3E53"/>
    <w:rsid w:val="00E8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26A5"/>
  <w15:chartTrackingRefBased/>
  <w15:docId w15:val="{E7E1631A-8713-4D8D-94B8-A8471276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68B"/>
    <w:rPr>
      <w:kern w:val="0"/>
      <w:lang w:val="fr-CA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9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1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1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1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1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1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1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168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16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16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16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16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16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16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168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168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168B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59168B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168B"/>
    <w:rPr>
      <w:kern w:val="0"/>
      <w:lang w:val="fr-CA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91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168B"/>
    <w:rPr>
      <w:kern w:val="0"/>
      <w:lang w:val="fr-CA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MALEK Corinne</dc:creator>
  <cp:keywords/>
  <dc:description/>
  <cp:lastModifiedBy>EL MALEK Corinne</cp:lastModifiedBy>
  <cp:revision>4</cp:revision>
  <cp:lastPrinted>2026-03-17T10:08:00Z</cp:lastPrinted>
  <dcterms:created xsi:type="dcterms:W3CDTF">2025-06-17T06:06:00Z</dcterms:created>
  <dcterms:modified xsi:type="dcterms:W3CDTF">2026-04-01T09:46:00Z</dcterms:modified>
</cp:coreProperties>
</file>