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7C7CE" w14:textId="77777777" w:rsidR="00603B79" w:rsidRPr="000B1272" w:rsidRDefault="00603B79" w:rsidP="00603B79">
      <w:pPr>
        <w:shd w:val="clear" w:color="auto" w:fill="FFFFFF"/>
        <w:spacing w:after="0" w:line="240" w:lineRule="auto"/>
        <w:rPr>
          <w:rFonts w:ascii="Arial" w:hAnsi="Arial" w:cs="Arial"/>
          <w:b/>
          <w:bCs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603B79" w:rsidRPr="000B1272" w14:paraId="102CEF1E" w14:textId="77777777" w:rsidTr="004D0AD2">
        <w:trPr>
          <w:trHeight w:val="1172"/>
        </w:trPr>
        <w:tc>
          <w:tcPr>
            <w:tcW w:w="10206" w:type="dxa"/>
          </w:tcPr>
          <w:p w14:paraId="77891462" w14:textId="77777777" w:rsidR="00603B79" w:rsidRPr="000B1272" w:rsidRDefault="00603B79" w:rsidP="004D0AD2">
            <w:pPr>
              <w:spacing w:after="0"/>
              <w:jc w:val="center"/>
              <w:rPr>
                <w:rFonts w:ascii="Arial" w:hAnsi="Arial" w:cs="Arial"/>
                <w:b/>
                <w:bCs/>
                <w:u w:val="double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0B1272">
              <w:rPr>
                <w:rFonts w:ascii="Arial" w:hAnsi="Arial" w:cs="Arial"/>
                <w:b/>
                <w:bCs/>
                <w:u w:val="double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Programme de formation </w:t>
            </w:r>
          </w:p>
          <w:p w14:paraId="60DFD8AE" w14:textId="77777777" w:rsidR="00603B79" w:rsidRPr="000B1272" w:rsidRDefault="00603B79" w:rsidP="004D0AD2">
            <w:pPr>
              <w:spacing w:after="0"/>
              <w:jc w:val="center"/>
              <w:rPr>
                <w:rFonts w:ascii="Arial" w:hAnsi="Arial" w:cs="Arial"/>
                <w:b/>
                <w:bCs/>
                <w:u w:val="double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0B1272">
              <w:rPr>
                <w:rFonts w:ascii="Arial" w:hAnsi="Arial" w:cs="Arial"/>
                <w:b/>
                <w:bCs/>
                <w:u w:val="double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Conforme à </w:t>
            </w:r>
            <w:r w:rsidRPr="000B1272">
              <w:rPr>
                <w:rFonts w:ascii="Arial" w:hAnsi="Arial" w:cs="Arial"/>
                <w:color w:val="000000"/>
                <w:shd w:val="clear" w:color="auto" w:fill="FFFFFF"/>
              </w:rPr>
              <w:t>La circulaire DGEFP n° 2006/35 du 14 novembre 2006</w:t>
            </w:r>
          </w:p>
          <w:p w14:paraId="06886667" w14:textId="77777777" w:rsidR="00603B79" w:rsidRPr="000B1272" w:rsidRDefault="00603B79" w:rsidP="004D0AD2">
            <w:pPr>
              <w:spacing w:after="0"/>
              <w:jc w:val="center"/>
              <w:rPr>
                <w:rFonts w:ascii="Arial" w:hAnsi="Arial" w:cs="Arial"/>
                <w:b/>
                <w:u w:val="single"/>
              </w:rPr>
            </w:pPr>
            <w:r w:rsidRPr="000B1272">
              <w:rPr>
                <w:rFonts w:ascii="Arial" w:hAnsi="Arial" w:cs="Arial"/>
                <w:b/>
                <w:u w:val="single"/>
              </w:rPr>
              <w:t>LE MANDAT DE VENTE ET LE COMPROMIS DE VENTE</w:t>
            </w:r>
          </w:p>
          <w:p w14:paraId="39CD3311" w14:textId="77777777" w:rsidR="00603B79" w:rsidRPr="000B1272" w:rsidRDefault="00603B79" w:rsidP="004D0AD2">
            <w:pPr>
              <w:spacing w:after="0"/>
              <w:jc w:val="center"/>
              <w:rPr>
                <w:rFonts w:ascii="Arial" w:hAnsi="Arial" w:cs="Arial"/>
                <w:b/>
                <w:u w:val="single"/>
              </w:rPr>
            </w:pPr>
            <w:r w:rsidRPr="000B1272">
              <w:rPr>
                <w:rFonts w:ascii="Arial" w:hAnsi="Arial" w:cs="Arial"/>
                <w:b/>
                <w:u w:val="single"/>
              </w:rPr>
              <w:t xml:space="preserve">Étude des contentieux en matière de validité des mandats et responsabilité de l’agent immobilier </w:t>
            </w:r>
          </w:p>
        </w:tc>
      </w:tr>
    </w:tbl>
    <w:p w14:paraId="26DE0081" w14:textId="77777777" w:rsidR="00603B79" w:rsidRPr="000B1272" w:rsidRDefault="00603B79" w:rsidP="00603B79">
      <w:pPr>
        <w:rPr>
          <w:rFonts w:ascii="Arial" w:hAnsi="Arial" w:cs="Arial"/>
          <w:b/>
          <w:bCs/>
          <w:u w:val="double"/>
        </w:rPr>
      </w:pPr>
    </w:p>
    <w:tbl>
      <w:tblPr>
        <w:tblW w:w="102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3"/>
      </w:tblGrid>
      <w:tr w:rsidR="00603B79" w:rsidRPr="000B1272" w14:paraId="1ACDF3C2" w14:textId="77777777" w:rsidTr="004D0AD2">
        <w:trPr>
          <w:trHeight w:val="4601"/>
        </w:trPr>
        <w:tc>
          <w:tcPr>
            <w:tcW w:w="10273" w:type="dxa"/>
          </w:tcPr>
          <w:p w14:paraId="2DC62DF4" w14:textId="77777777" w:rsidR="00603B79" w:rsidRPr="000B1272" w:rsidRDefault="00603B79" w:rsidP="004D0AD2">
            <w:pPr>
              <w:spacing w:after="0"/>
              <w:rPr>
                <w:rFonts w:ascii="Arial" w:hAnsi="Arial" w:cs="Arial"/>
                <w:b/>
                <w:bCs/>
                <w:u w:val="double"/>
              </w:rPr>
            </w:pPr>
          </w:p>
          <w:p w14:paraId="26DDC25C" w14:textId="77777777" w:rsidR="00603B79" w:rsidRPr="000B1272" w:rsidRDefault="00603B79" w:rsidP="004D0AD2">
            <w:pPr>
              <w:spacing w:after="0"/>
              <w:ind w:firstLine="567"/>
              <w:jc w:val="center"/>
              <w:rPr>
                <w:rFonts w:ascii="Arial" w:hAnsi="Arial" w:cs="Arial"/>
                <w:b/>
                <w:bCs/>
              </w:rPr>
            </w:pPr>
            <w:r w:rsidRPr="000B1272">
              <w:rPr>
                <w:rFonts w:ascii="Arial" w:hAnsi="Arial" w:cs="Arial"/>
                <w:b/>
                <w:bCs/>
                <w:u w:val="double"/>
              </w:rPr>
              <w:t>Public visé </w:t>
            </w:r>
            <w:r w:rsidRPr="000B1272">
              <w:rPr>
                <w:rFonts w:ascii="Arial" w:hAnsi="Arial" w:cs="Arial"/>
                <w:b/>
                <w:bCs/>
              </w:rPr>
              <w:t>:</w:t>
            </w:r>
          </w:p>
          <w:p w14:paraId="2475F94C" w14:textId="77777777" w:rsidR="00603B79" w:rsidRPr="000B1272" w:rsidRDefault="00603B79" w:rsidP="004D0AD2">
            <w:pPr>
              <w:spacing w:after="0"/>
              <w:jc w:val="both"/>
              <w:rPr>
                <w:rFonts w:ascii="Arial" w:eastAsia="Batang" w:hAnsi="Arial" w:cs="Arial"/>
                <w:b/>
                <w:bCs/>
              </w:rPr>
            </w:pPr>
            <w:r w:rsidRPr="000B1272">
              <w:rPr>
                <w:rFonts w:ascii="Arial" w:hAnsi="Arial" w:cs="Arial"/>
                <w:b/>
                <w:bCs/>
              </w:rPr>
              <w:t>Conformément au décret du</w:t>
            </w:r>
            <w:r w:rsidRPr="000B1272">
              <w:rPr>
                <w:rFonts w:ascii="Arial" w:hAnsi="Arial" w:cs="Arial"/>
                <w:b/>
                <w:bCs/>
                <w:u w:val="double"/>
              </w:rPr>
              <w:t xml:space="preserve"> </w:t>
            </w:r>
            <w:r w:rsidRPr="000B1272">
              <w:rPr>
                <w:rFonts w:ascii="Arial" w:eastAsia="Batang" w:hAnsi="Arial" w:cs="Arial"/>
                <w:b/>
                <w:bCs/>
              </w:rPr>
              <w:t>19 juin 2015, qui a modifié l’article 80 de la loi HOGUET</w:t>
            </w:r>
          </w:p>
          <w:p w14:paraId="5CE9A316" w14:textId="77777777" w:rsidR="00603B79" w:rsidRPr="000B1272" w:rsidRDefault="00603B79" w:rsidP="004D0AD2">
            <w:pPr>
              <w:spacing w:after="0"/>
              <w:jc w:val="both"/>
              <w:rPr>
                <w:rFonts w:ascii="Arial" w:eastAsia="Batang" w:hAnsi="Arial" w:cs="Arial"/>
                <w:b/>
                <w:bCs/>
              </w:rPr>
            </w:pPr>
            <w:r w:rsidRPr="000B1272">
              <w:rPr>
                <w:rStyle w:val="Accentuation"/>
                <w:rFonts w:ascii="Arial" w:hAnsi="Arial" w:cs="Arial"/>
                <w:color w:val="656253"/>
                <w:shd w:val="clear" w:color="auto" w:fill="FFFFFF"/>
              </w:rPr>
              <w:t xml:space="preserve">Et au décret n° 2016-173 du 18 février 2016 </w:t>
            </w:r>
          </w:p>
          <w:p w14:paraId="0A2271F7" w14:textId="77777777" w:rsidR="00603B79" w:rsidRPr="000B1272" w:rsidRDefault="00603B79" w:rsidP="004D0AD2">
            <w:pPr>
              <w:spacing w:after="0"/>
              <w:jc w:val="both"/>
              <w:rPr>
                <w:rFonts w:ascii="Arial" w:eastAsia="Batang" w:hAnsi="Arial" w:cs="Arial"/>
                <w:b/>
                <w:bCs/>
              </w:rPr>
            </w:pPr>
            <w:r w:rsidRPr="000B1272">
              <w:rPr>
                <w:rFonts w:ascii="Arial" w:eastAsia="Batang" w:hAnsi="Arial" w:cs="Arial"/>
                <w:b/>
                <w:bCs/>
              </w:rPr>
              <w:t>Le titulaire de la carte professionnelle d’agent immobilier et l’ensemble des collaborateurs (négociateur vente – gestionnaire locatif -agents commerciaux) ;</w:t>
            </w:r>
          </w:p>
          <w:p w14:paraId="667AC494" w14:textId="77777777" w:rsidR="00603B79" w:rsidRPr="000B1272" w:rsidRDefault="00603B79" w:rsidP="004D0AD2">
            <w:pPr>
              <w:spacing w:after="0"/>
              <w:ind w:left="67"/>
              <w:rPr>
                <w:rFonts w:ascii="Arial" w:hAnsi="Arial" w:cs="Arial"/>
                <w:b/>
                <w:bCs/>
              </w:rPr>
            </w:pPr>
          </w:p>
          <w:p w14:paraId="0ED45648" w14:textId="77777777" w:rsidR="00603B79" w:rsidRPr="000B1272" w:rsidRDefault="00603B79" w:rsidP="004D0AD2">
            <w:pPr>
              <w:spacing w:after="0"/>
              <w:ind w:left="67" w:firstLine="567"/>
              <w:rPr>
                <w:rFonts w:ascii="Arial" w:hAnsi="Arial" w:cs="Arial"/>
                <w:b/>
                <w:bCs/>
                <w:u w:val="single"/>
              </w:rPr>
            </w:pPr>
            <w:r w:rsidRPr="000B1272">
              <w:rPr>
                <w:rFonts w:ascii="Arial" w:hAnsi="Arial" w:cs="Arial"/>
                <w:b/>
                <w:bCs/>
                <w:u w:val="single"/>
              </w:rPr>
              <w:t>PRE-REQUIS </w:t>
            </w:r>
          </w:p>
          <w:p w14:paraId="02FECCF2" w14:textId="77777777" w:rsidR="00603B79" w:rsidRPr="000B1272" w:rsidRDefault="00603B79" w:rsidP="004D0AD2">
            <w:pPr>
              <w:spacing w:after="0"/>
              <w:rPr>
                <w:rFonts w:ascii="Arial" w:hAnsi="Arial" w:cs="Arial"/>
              </w:rPr>
            </w:pPr>
            <w:r w:rsidRPr="000B1272">
              <w:rPr>
                <w:rFonts w:ascii="Arial" w:hAnsi="Arial" w:cs="Arial"/>
              </w:rPr>
              <w:t>Connaissance des règles relatives à la vente immobilière</w:t>
            </w:r>
          </w:p>
          <w:p w14:paraId="040909A7" w14:textId="77777777" w:rsidR="00603B79" w:rsidRPr="000B1272" w:rsidRDefault="00603B79" w:rsidP="004D0AD2">
            <w:pPr>
              <w:spacing w:after="0"/>
              <w:ind w:left="67" w:firstLine="567"/>
              <w:rPr>
                <w:rFonts w:ascii="Arial" w:hAnsi="Arial" w:cs="Arial"/>
                <w:b/>
                <w:bCs/>
                <w:u w:val="double"/>
              </w:rPr>
            </w:pPr>
            <w:r w:rsidRPr="000B1272">
              <w:rPr>
                <w:rFonts w:ascii="Arial" w:hAnsi="Arial" w:cs="Arial"/>
                <w:b/>
                <w:bCs/>
                <w:u w:val="double"/>
              </w:rPr>
              <w:t>Objectifs :</w:t>
            </w:r>
          </w:p>
          <w:p w14:paraId="69C405D0" w14:textId="77777777" w:rsidR="00603B79" w:rsidRPr="000B1272" w:rsidRDefault="00603B79" w:rsidP="004D0AD2">
            <w:pPr>
              <w:spacing w:after="0"/>
              <w:rPr>
                <w:rFonts w:ascii="Arial" w:hAnsi="Arial" w:cs="Arial"/>
                <w:b/>
                <w:bCs/>
                <w:u w:val="double"/>
              </w:rPr>
            </w:pPr>
            <w:r w:rsidRPr="000B1272">
              <w:rPr>
                <w:rFonts w:ascii="Arial" w:hAnsi="Arial" w:cs="Arial"/>
              </w:rPr>
              <w:t>RAPPELS des règles de la loi HOGUET, de la loi ALUR, de la loi HAMON sur la validité des mandats</w:t>
            </w:r>
          </w:p>
          <w:p w14:paraId="201FEB99" w14:textId="77777777" w:rsidR="00603B79" w:rsidRPr="000B1272" w:rsidRDefault="00603B79" w:rsidP="004D0AD2">
            <w:pPr>
              <w:spacing w:after="0"/>
              <w:rPr>
                <w:rFonts w:ascii="Arial" w:hAnsi="Arial" w:cs="Arial"/>
              </w:rPr>
            </w:pPr>
            <w:r w:rsidRPr="000B1272">
              <w:rPr>
                <w:rFonts w:ascii="Arial" w:hAnsi="Arial" w:cs="Arial"/>
              </w:rPr>
              <w:t>Identifier les documents et les renseignements nécessaires pour régulariser un mandat et un compromis de vente</w:t>
            </w:r>
          </w:p>
          <w:p w14:paraId="039E1E7C" w14:textId="77777777" w:rsidR="00603B79" w:rsidRPr="000B1272" w:rsidRDefault="00603B79" w:rsidP="004D0AD2">
            <w:pPr>
              <w:spacing w:after="0"/>
              <w:rPr>
                <w:rFonts w:ascii="Arial" w:hAnsi="Arial" w:cs="Arial"/>
              </w:rPr>
            </w:pPr>
            <w:r w:rsidRPr="000B1272">
              <w:rPr>
                <w:rFonts w:ascii="Arial" w:hAnsi="Arial" w:cs="Arial"/>
              </w:rPr>
              <w:t>Maîtriser les règles de validité du compromis de vente : loi SRU ; Conditions suspensives</w:t>
            </w:r>
          </w:p>
          <w:p w14:paraId="64041C9D" w14:textId="77777777" w:rsidR="00603B79" w:rsidRDefault="00603B79" w:rsidP="004D0AD2">
            <w:pPr>
              <w:spacing w:after="0"/>
              <w:rPr>
                <w:rFonts w:ascii="Arial" w:hAnsi="Arial" w:cs="Arial"/>
              </w:rPr>
            </w:pPr>
            <w:r w:rsidRPr="000B1272">
              <w:rPr>
                <w:rFonts w:ascii="Arial" w:hAnsi="Arial" w:cs="Arial"/>
              </w:rPr>
              <w:t xml:space="preserve">Étude des contentieux en matière de validité des mandats et responsabilité de l’agent immobilier </w:t>
            </w:r>
          </w:p>
          <w:p w14:paraId="0CCA9B44" w14:textId="77777777" w:rsidR="00603B79" w:rsidRPr="000B1272" w:rsidRDefault="00603B79" w:rsidP="004D0AD2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LUTTE CONTRE LA DISCRIMINATION DANS LE DOMAINE DE L ACCES AU LOGEMENT </w:t>
            </w:r>
          </w:p>
          <w:p w14:paraId="53B32637" w14:textId="77777777" w:rsidR="00603B79" w:rsidRPr="000B1272" w:rsidRDefault="00603B79" w:rsidP="004D0AD2">
            <w:pPr>
              <w:spacing w:after="0"/>
              <w:ind w:firstLine="567"/>
              <w:jc w:val="center"/>
              <w:rPr>
                <w:rFonts w:ascii="Arial" w:eastAsia="Batang" w:hAnsi="Arial" w:cs="Arial"/>
              </w:rPr>
            </w:pPr>
            <w:r w:rsidRPr="000B1272">
              <w:rPr>
                <w:rFonts w:ascii="Arial" w:eastAsia="Batang" w:hAnsi="Arial" w:cs="Arial"/>
                <w:b/>
                <w:bCs/>
                <w:color w:val="FF0000"/>
                <w:u w:val="single"/>
              </w:rPr>
              <w:t>Durée </w:t>
            </w:r>
            <w:r w:rsidRPr="000B1272">
              <w:rPr>
                <w:rFonts w:ascii="Arial" w:eastAsia="Batang" w:hAnsi="Arial" w:cs="Arial"/>
                <w:color w:val="FF0000"/>
              </w:rPr>
              <w:t>: 7 heures</w:t>
            </w:r>
          </w:p>
        </w:tc>
      </w:tr>
    </w:tbl>
    <w:p w14:paraId="6A0D22E7" w14:textId="77777777" w:rsidR="00603B79" w:rsidRPr="000B1272" w:rsidRDefault="00603B79" w:rsidP="00603B79">
      <w:pPr>
        <w:spacing w:after="0"/>
        <w:rPr>
          <w:rFonts w:ascii="Arial" w:hAnsi="Arial" w:cs="Arial"/>
        </w:rPr>
      </w:pPr>
    </w:p>
    <w:p w14:paraId="1500F86C" w14:textId="77777777" w:rsidR="00603B79" w:rsidRPr="000B1272" w:rsidRDefault="00603B79" w:rsidP="00603B79">
      <w:pPr>
        <w:spacing w:after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0B1272">
        <w:rPr>
          <w:rFonts w:ascii="Arial" w:hAnsi="Arial" w:cs="Arial"/>
          <w:b/>
          <w:bCs/>
          <w:sz w:val="28"/>
          <w:szCs w:val="28"/>
          <w:u w:val="single"/>
        </w:rPr>
        <w:t>PROGRAMME DETAILLE ET SEQUENCE</w:t>
      </w:r>
    </w:p>
    <w:p w14:paraId="61470E6A" w14:textId="77777777" w:rsidR="00603B79" w:rsidRPr="000B1272" w:rsidRDefault="00603B79" w:rsidP="00603B79">
      <w:pPr>
        <w:spacing w:after="0"/>
        <w:rPr>
          <w:rFonts w:ascii="Arial" w:hAnsi="Arial" w:cs="Arial"/>
          <w:u w:val="single"/>
        </w:rPr>
      </w:pPr>
      <w:r w:rsidRPr="000B1272">
        <w:rPr>
          <w:rFonts w:ascii="Arial" w:hAnsi="Arial" w:cs="Arial"/>
          <w:u w:val="single"/>
        </w:rPr>
        <w:t>Rappels</w:t>
      </w:r>
    </w:p>
    <w:p w14:paraId="7E00E7C6" w14:textId="77777777" w:rsidR="00603B79" w:rsidRPr="000B1272" w:rsidRDefault="00603B79" w:rsidP="00603B79">
      <w:pPr>
        <w:spacing w:after="0"/>
        <w:rPr>
          <w:rFonts w:ascii="Arial" w:hAnsi="Arial" w:cs="Arial"/>
        </w:rPr>
      </w:pPr>
      <w:r w:rsidRPr="000B1272">
        <w:rPr>
          <w:rFonts w:ascii="Arial" w:hAnsi="Arial" w:cs="Arial"/>
        </w:rPr>
        <w:t>Règles de la loi HOGUET- LAB- RGDP</w:t>
      </w:r>
      <w:r>
        <w:rPr>
          <w:rFonts w:ascii="Arial" w:hAnsi="Arial" w:cs="Arial"/>
        </w:rPr>
        <w:t xml:space="preserve">- LUTTE CONTRE LA DISCRIMINATION </w:t>
      </w:r>
    </w:p>
    <w:p w14:paraId="03C88D05" w14:textId="77777777" w:rsidR="00603B79" w:rsidRPr="00140349" w:rsidRDefault="00603B79" w:rsidP="00603B79">
      <w:pPr>
        <w:shd w:val="clear" w:color="auto" w:fill="FEFEFE"/>
        <w:spacing w:before="100" w:beforeAutospacing="1" w:after="0" w:line="240" w:lineRule="auto"/>
        <w:jc w:val="both"/>
        <w:rPr>
          <w:rFonts w:ascii="Arial" w:eastAsia="Times New Roman" w:hAnsi="Arial" w:cs="Arial"/>
          <w:color w:val="626260"/>
          <w:lang w:eastAsia="fr-CA"/>
        </w:rPr>
      </w:pPr>
      <w:r w:rsidRPr="00140349">
        <w:rPr>
          <w:rFonts w:ascii="Arial" w:eastAsia="Times New Roman" w:hAnsi="Arial" w:cs="Arial"/>
          <w:b/>
          <w:bCs/>
          <w:color w:val="626260"/>
          <w:lang w:eastAsia="fr-CA"/>
        </w:rPr>
        <w:t>1. Le mandat de vente</w:t>
      </w:r>
    </w:p>
    <w:p w14:paraId="3FD6B67C" w14:textId="77777777" w:rsidR="00603B79" w:rsidRPr="00140349" w:rsidRDefault="00603B79" w:rsidP="00603B79">
      <w:pPr>
        <w:numPr>
          <w:ilvl w:val="0"/>
          <w:numId w:val="4"/>
        </w:num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626260"/>
          <w:lang w:eastAsia="fr-CA"/>
        </w:rPr>
      </w:pPr>
      <w:r w:rsidRPr="00140349">
        <w:rPr>
          <w:rFonts w:ascii="Arial" w:eastAsia="Times New Roman" w:hAnsi="Arial" w:cs="Arial"/>
          <w:color w:val="626260"/>
          <w:lang w:eastAsia="fr-CA"/>
        </w:rPr>
        <w:t>Les vérifications préalables relatives au mandant</w:t>
      </w:r>
    </w:p>
    <w:p w14:paraId="2B237955" w14:textId="77777777" w:rsidR="00603B79" w:rsidRPr="00140349" w:rsidRDefault="00603B79" w:rsidP="00603B79">
      <w:pPr>
        <w:numPr>
          <w:ilvl w:val="0"/>
          <w:numId w:val="4"/>
        </w:num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626260"/>
          <w:lang w:eastAsia="fr-CA"/>
        </w:rPr>
      </w:pPr>
      <w:r w:rsidRPr="00140349">
        <w:rPr>
          <w:rFonts w:ascii="Arial" w:eastAsia="Times New Roman" w:hAnsi="Arial" w:cs="Arial"/>
          <w:color w:val="626260"/>
          <w:lang w:eastAsia="fr-CA"/>
        </w:rPr>
        <w:t>Les vérifications préalables au bien immobilier à vendre</w:t>
      </w:r>
    </w:p>
    <w:p w14:paraId="0AF273E5" w14:textId="77777777" w:rsidR="00603B79" w:rsidRPr="00140349" w:rsidRDefault="00603B79" w:rsidP="00603B79">
      <w:pPr>
        <w:numPr>
          <w:ilvl w:val="0"/>
          <w:numId w:val="4"/>
        </w:num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626260"/>
          <w:lang w:eastAsia="fr-CA"/>
        </w:rPr>
      </w:pPr>
      <w:r w:rsidRPr="00140349">
        <w:rPr>
          <w:rFonts w:ascii="Arial" w:eastAsia="Times New Roman" w:hAnsi="Arial" w:cs="Arial"/>
          <w:color w:val="626260"/>
          <w:lang w:eastAsia="fr-CA"/>
        </w:rPr>
        <w:t>Les diagnostics obligatoires</w:t>
      </w:r>
    </w:p>
    <w:p w14:paraId="1254CCA5" w14:textId="77777777" w:rsidR="00603B79" w:rsidRPr="00140349" w:rsidRDefault="00603B79" w:rsidP="00603B79">
      <w:pPr>
        <w:numPr>
          <w:ilvl w:val="0"/>
          <w:numId w:val="4"/>
        </w:num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626260"/>
          <w:lang w:eastAsia="fr-CA"/>
        </w:rPr>
      </w:pPr>
      <w:r w:rsidRPr="00140349">
        <w:rPr>
          <w:rFonts w:ascii="Arial" w:eastAsia="Times New Roman" w:hAnsi="Arial" w:cs="Arial"/>
          <w:color w:val="626260"/>
          <w:lang w:eastAsia="fr-CA"/>
        </w:rPr>
        <w:t>Les mandats exclusifs, Le contenu du mandat :</w:t>
      </w:r>
    </w:p>
    <w:p w14:paraId="5A3B8F1C" w14:textId="77777777" w:rsidR="00603B79" w:rsidRPr="00140349" w:rsidRDefault="00603B79" w:rsidP="00603B79">
      <w:pPr>
        <w:numPr>
          <w:ilvl w:val="1"/>
          <w:numId w:val="4"/>
        </w:num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626260"/>
          <w:lang w:eastAsia="fr-CA"/>
        </w:rPr>
      </w:pPr>
      <w:r w:rsidRPr="00140349">
        <w:rPr>
          <w:rFonts w:ascii="Arial" w:eastAsia="Times New Roman" w:hAnsi="Arial" w:cs="Arial"/>
          <w:color w:val="626260"/>
          <w:lang w:eastAsia="fr-CA"/>
        </w:rPr>
        <w:t>Description du bien immobilier à vendre</w:t>
      </w:r>
    </w:p>
    <w:p w14:paraId="39EE15B7" w14:textId="77777777" w:rsidR="00603B79" w:rsidRPr="00140349" w:rsidRDefault="00603B79" w:rsidP="00603B79">
      <w:pPr>
        <w:numPr>
          <w:ilvl w:val="1"/>
          <w:numId w:val="4"/>
        </w:num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626260"/>
          <w:lang w:eastAsia="fr-CA"/>
        </w:rPr>
      </w:pPr>
      <w:r w:rsidRPr="00140349">
        <w:rPr>
          <w:rFonts w:ascii="Arial" w:eastAsia="Times New Roman" w:hAnsi="Arial" w:cs="Arial"/>
          <w:color w:val="626260"/>
          <w:lang w:eastAsia="fr-CA"/>
        </w:rPr>
        <w:t>La durée de validité du mandat de vente et la faculté de résiliation</w:t>
      </w:r>
    </w:p>
    <w:p w14:paraId="7DC3E093" w14:textId="77777777" w:rsidR="00603B79" w:rsidRPr="00140349" w:rsidRDefault="00603B79" w:rsidP="00603B79">
      <w:pPr>
        <w:numPr>
          <w:ilvl w:val="1"/>
          <w:numId w:val="4"/>
        </w:num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626260"/>
          <w:lang w:eastAsia="fr-CA"/>
        </w:rPr>
      </w:pPr>
      <w:r w:rsidRPr="00140349">
        <w:rPr>
          <w:rFonts w:ascii="Arial" w:eastAsia="Times New Roman" w:hAnsi="Arial" w:cs="Arial"/>
          <w:color w:val="626260"/>
          <w:lang w:eastAsia="fr-CA"/>
        </w:rPr>
        <w:t>La rémunération du mandataire</w:t>
      </w:r>
    </w:p>
    <w:p w14:paraId="5E8B5219" w14:textId="77777777" w:rsidR="00603B79" w:rsidRPr="00140349" w:rsidRDefault="00603B79" w:rsidP="00603B79">
      <w:pPr>
        <w:numPr>
          <w:ilvl w:val="1"/>
          <w:numId w:val="4"/>
        </w:num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626260"/>
          <w:lang w:eastAsia="fr-CA"/>
        </w:rPr>
      </w:pPr>
      <w:r w:rsidRPr="00140349">
        <w:rPr>
          <w:rFonts w:ascii="Arial" w:eastAsia="Times New Roman" w:hAnsi="Arial" w:cs="Arial"/>
          <w:color w:val="626260"/>
          <w:lang w:eastAsia="fr-CA"/>
        </w:rPr>
        <w:t>Les obligations du mandant et la clause pénale</w:t>
      </w:r>
    </w:p>
    <w:p w14:paraId="21D97C19" w14:textId="77777777" w:rsidR="00603B79" w:rsidRPr="00140349" w:rsidRDefault="00603B79" w:rsidP="00603B79">
      <w:pPr>
        <w:numPr>
          <w:ilvl w:val="1"/>
          <w:numId w:val="4"/>
        </w:num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626260"/>
          <w:lang w:eastAsia="fr-CA"/>
        </w:rPr>
      </w:pPr>
      <w:r w:rsidRPr="00140349">
        <w:rPr>
          <w:rFonts w:ascii="Arial" w:eastAsia="Times New Roman" w:hAnsi="Arial" w:cs="Arial"/>
          <w:color w:val="626260"/>
          <w:lang w:eastAsia="fr-CA"/>
        </w:rPr>
        <w:t>Les obligations du mandataire depuis la loi ALUR du 24 mars 2014</w:t>
      </w:r>
    </w:p>
    <w:p w14:paraId="2F7A9DF4" w14:textId="77777777" w:rsidR="00603B79" w:rsidRPr="00140349" w:rsidRDefault="00603B79" w:rsidP="00603B79">
      <w:pPr>
        <w:numPr>
          <w:ilvl w:val="0"/>
          <w:numId w:val="4"/>
        </w:num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626260"/>
          <w:lang w:eastAsia="fr-CA"/>
        </w:rPr>
      </w:pPr>
      <w:r w:rsidRPr="00140349">
        <w:rPr>
          <w:rFonts w:ascii="Arial" w:eastAsia="Times New Roman" w:hAnsi="Arial" w:cs="Arial"/>
          <w:color w:val="626260"/>
          <w:lang w:eastAsia="fr-CA"/>
        </w:rPr>
        <w:t>Les obligations du mandataire en cas de mandat hors établissement</w:t>
      </w:r>
    </w:p>
    <w:p w14:paraId="0E0A6F70" w14:textId="77777777" w:rsidR="00603B79" w:rsidRPr="00140349" w:rsidRDefault="00603B79" w:rsidP="00603B79">
      <w:pPr>
        <w:numPr>
          <w:ilvl w:val="0"/>
          <w:numId w:val="4"/>
        </w:num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626260"/>
          <w:lang w:eastAsia="fr-CA"/>
        </w:rPr>
      </w:pPr>
      <w:r w:rsidRPr="00140349">
        <w:rPr>
          <w:rFonts w:ascii="Arial" w:eastAsia="Times New Roman" w:hAnsi="Arial" w:cs="Arial"/>
          <w:color w:val="626260"/>
          <w:lang w:eastAsia="fr-CA"/>
        </w:rPr>
        <w:t>Les informations précontractuelles du consommateur depuis la loi Hamon du 17 mars 2014</w:t>
      </w:r>
    </w:p>
    <w:p w14:paraId="4161CE57" w14:textId="77777777" w:rsidR="00603B79" w:rsidRPr="000B1272" w:rsidRDefault="00603B79" w:rsidP="00603B79">
      <w:pPr>
        <w:shd w:val="clear" w:color="auto" w:fill="FEFEFE"/>
        <w:spacing w:before="100" w:beforeAutospacing="1" w:after="0" w:line="240" w:lineRule="auto"/>
        <w:jc w:val="both"/>
        <w:rPr>
          <w:rFonts w:ascii="Arial" w:eastAsia="Times New Roman" w:hAnsi="Arial" w:cs="Arial"/>
          <w:color w:val="626260"/>
          <w:lang w:eastAsia="fr-CA"/>
        </w:rPr>
      </w:pPr>
      <w:r w:rsidRPr="00140349">
        <w:rPr>
          <w:rFonts w:ascii="Arial" w:eastAsia="Times New Roman" w:hAnsi="Arial" w:cs="Arial"/>
          <w:b/>
          <w:bCs/>
          <w:color w:val="626260"/>
          <w:lang w:eastAsia="fr-CA"/>
        </w:rPr>
        <w:t>2. Encadrement juridique de la mise en publicité d’un bien immobilier à vendre</w:t>
      </w:r>
    </w:p>
    <w:p w14:paraId="6035B15A" w14:textId="77777777" w:rsidR="00603B79" w:rsidRPr="00140349" w:rsidRDefault="00603B79" w:rsidP="00603B79">
      <w:pPr>
        <w:shd w:val="clear" w:color="auto" w:fill="FEFEFE"/>
        <w:spacing w:before="100" w:beforeAutospacing="1" w:after="0" w:line="240" w:lineRule="auto"/>
        <w:jc w:val="both"/>
        <w:rPr>
          <w:rFonts w:ascii="Arial" w:eastAsia="Times New Roman" w:hAnsi="Arial" w:cs="Arial"/>
          <w:color w:val="626260"/>
          <w:lang w:eastAsia="fr-CA"/>
        </w:rPr>
      </w:pPr>
      <w:r w:rsidRPr="00140349">
        <w:rPr>
          <w:rFonts w:ascii="Arial" w:eastAsia="Times New Roman" w:hAnsi="Arial" w:cs="Arial"/>
          <w:color w:val="626260"/>
          <w:lang w:eastAsia="fr-CA"/>
        </w:rPr>
        <w:lastRenderedPageBreak/>
        <w:br/>
      </w:r>
      <w:r w:rsidRPr="00140349">
        <w:rPr>
          <w:rFonts w:ascii="Arial" w:eastAsia="Times New Roman" w:hAnsi="Arial" w:cs="Arial"/>
          <w:b/>
          <w:bCs/>
          <w:color w:val="626260"/>
          <w:lang w:eastAsia="fr-CA"/>
        </w:rPr>
        <w:t>3. Les documents à faire signer au cours de la négociation entre les parties</w:t>
      </w:r>
    </w:p>
    <w:p w14:paraId="06E1AA0F" w14:textId="77777777" w:rsidR="00603B79" w:rsidRPr="00140349" w:rsidRDefault="00603B79" w:rsidP="00603B79">
      <w:pPr>
        <w:numPr>
          <w:ilvl w:val="0"/>
          <w:numId w:val="5"/>
        </w:num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626260"/>
          <w:lang w:eastAsia="fr-CA"/>
        </w:rPr>
      </w:pPr>
      <w:r w:rsidRPr="00140349">
        <w:rPr>
          <w:rFonts w:ascii="Arial" w:eastAsia="Times New Roman" w:hAnsi="Arial" w:cs="Arial"/>
          <w:color w:val="626260"/>
          <w:lang w:eastAsia="fr-CA"/>
        </w:rPr>
        <w:t>Mandat de recherche d’un bien à vendre signé par un acquéreur</w:t>
      </w:r>
    </w:p>
    <w:p w14:paraId="1A45A531" w14:textId="77777777" w:rsidR="00603B79" w:rsidRPr="00140349" w:rsidRDefault="00603B79" w:rsidP="00603B79">
      <w:pPr>
        <w:numPr>
          <w:ilvl w:val="0"/>
          <w:numId w:val="5"/>
        </w:num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626260"/>
          <w:lang w:eastAsia="fr-CA"/>
        </w:rPr>
      </w:pPr>
      <w:r w:rsidRPr="00140349">
        <w:rPr>
          <w:rFonts w:ascii="Arial" w:eastAsia="Times New Roman" w:hAnsi="Arial" w:cs="Arial"/>
          <w:color w:val="626260"/>
          <w:lang w:eastAsia="fr-CA"/>
        </w:rPr>
        <w:t>Le bon de visite</w:t>
      </w:r>
    </w:p>
    <w:p w14:paraId="7CDF14ED" w14:textId="77777777" w:rsidR="00603B79" w:rsidRPr="00140349" w:rsidRDefault="00603B79" w:rsidP="00603B79">
      <w:pPr>
        <w:numPr>
          <w:ilvl w:val="0"/>
          <w:numId w:val="5"/>
        </w:num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626260"/>
          <w:lang w:eastAsia="fr-CA"/>
        </w:rPr>
      </w:pPr>
      <w:r w:rsidRPr="00140349">
        <w:rPr>
          <w:rFonts w:ascii="Arial" w:eastAsia="Times New Roman" w:hAnsi="Arial" w:cs="Arial"/>
          <w:color w:val="626260"/>
          <w:lang w:eastAsia="fr-CA"/>
        </w:rPr>
        <w:t>L’offre d’achat</w:t>
      </w:r>
    </w:p>
    <w:p w14:paraId="1532B6EB" w14:textId="77777777" w:rsidR="00603B79" w:rsidRPr="00140349" w:rsidRDefault="00603B79" w:rsidP="00603B79">
      <w:pPr>
        <w:shd w:val="clear" w:color="auto" w:fill="FEFEFE"/>
        <w:spacing w:before="100" w:beforeAutospacing="1" w:after="0" w:line="240" w:lineRule="auto"/>
        <w:jc w:val="both"/>
        <w:rPr>
          <w:rFonts w:ascii="Arial" w:eastAsia="Times New Roman" w:hAnsi="Arial" w:cs="Arial"/>
          <w:color w:val="626260"/>
          <w:lang w:eastAsia="fr-CA"/>
        </w:rPr>
      </w:pPr>
      <w:r w:rsidRPr="00140349">
        <w:rPr>
          <w:rFonts w:ascii="Arial" w:eastAsia="Times New Roman" w:hAnsi="Arial" w:cs="Arial"/>
          <w:b/>
          <w:bCs/>
          <w:color w:val="626260"/>
          <w:lang w:eastAsia="fr-CA"/>
        </w:rPr>
        <w:t>4. Le compromis de vente</w:t>
      </w:r>
    </w:p>
    <w:p w14:paraId="55A021B9" w14:textId="77777777" w:rsidR="00603B79" w:rsidRPr="00140349" w:rsidRDefault="00603B79" w:rsidP="00603B79">
      <w:pPr>
        <w:numPr>
          <w:ilvl w:val="1"/>
          <w:numId w:val="6"/>
        </w:num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626260"/>
          <w:lang w:eastAsia="fr-CA"/>
        </w:rPr>
      </w:pPr>
      <w:r w:rsidRPr="00140349">
        <w:rPr>
          <w:rFonts w:ascii="Arial" w:eastAsia="Times New Roman" w:hAnsi="Arial" w:cs="Arial"/>
          <w:color w:val="626260"/>
          <w:lang w:eastAsia="fr-CA"/>
        </w:rPr>
        <w:t>Description du bien immobilier à vendre</w:t>
      </w:r>
    </w:p>
    <w:p w14:paraId="7B3A9390" w14:textId="77777777" w:rsidR="00603B79" w:rsidRPr="00140349" w:rsidRDefault="00603B79" w:rsidP="00603B79">
      <w:pPr>
        <w:numPr>
          <w:ilvl w:val="1"/>
          <w:numId w:val="6"/>
        </w:num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626260"/>
          <w:lang w:eastAsia="fr-CA"/>
        </w:rPr>
      </w:pPr>
      <w:r w:rsidRPr="00140349">
        <w:rPr>
          <w:rFonts w:ascii="Arial" w:eastAsia="Times New Roman" w:hAnsi="Arial" w:cs="Arial"/>
          <w:color w:val="626260"/>
          <w:lang w:eastAsia="fr-CA"/>
        </w:rPr>
        <w:t>Déclarations du vendeur</w:t>
      </w:r>
    </w:p>
    <w:p w14:paraId="113C07F5" w14:textId="77777777" w:rsidR="00603B79" w:rsidRPr="00140349" w:rsidRDefault="00603B79" w:rsidP="00603B79">
      <w:pPr>
        <w:numPr>
          <w:ilvl w:val="1"/>
          <w:numId w:val="6"/>
        </w:num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626260"/>
          <w:lang w:eastAsia="fr-CA"/>
        </w:rPr>
      </w:pPr>
      <w:r w:rsidRPr="00140349">
        <w:rPr>
          <w:rFonts w:ascii="Arial" w:eastAsia="Times New Roman" w:hAnsi="Arial" w:cs="Arial"/>
          <w:color w:val="626260"/>
          <w:lang w:eastAsia="fr-CA"/>
        </w:rPr>
        <w:t>Déclaration de l’acquéreur</w:t>
      </w:r>
    </w:p>
    <w:p w14:paraId="4709F33B" w14:textId="77777777" w:rsidR="00603B79" w:rsidRPr="00140349" w:rsidRDefault="00603B79" w:rsidP="00603B79">
      <w:pPr>
        <w:numPr>
          <w:ilvl w:val="1"/>
          <w:numId w:val="6"/>
        </w:num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626260"/>
          <w:lang w:eastAsia="fr-CA"/>
        </w:rPr>
      </w:pPr>
      <w:r w:rsidRPr="00140349">
        <w:rPr>
          <w:rFonts w:ascii="Arial" w:eastAsia="Times New Roman" w:hAnsi="Arial" w:cs="Arial"/>
          <w:color w:val="626260"/>
          <w:lang w:eastAsia="fr-CA"/>
        </w:rPr>
        <w:t>Le prix de vente et l’acompte sur vente</w:t>
      </w:r>
    </w:p>
    <w:p w14:paraId="63C5053C" w14:textId="77777777" w:rsidR="00603B79" w:rsidRPr="00140349" w:rsidRDefault="00603B79" w:rsidP="00603B79">
      <w:pPr>
        <w:numPr>
          <w:ilvl w:val="1"/>
          <w:numId w:val="6"/>
        </w:numPr>
        <w:shd w:val="clear" w:color="auto" w:fill="FEFEFE"/>
        <w:spacing w:after="0" w:line="240" w:lineRule="auto"/>
        <w:ind w:left="1434" w:hanging="357"/>
        <w:jc w:val="both"/>
        <w:rPr>
          <w:rFonts w:ascii="Arial" w:eastAsia="Times New Roman" w:hAnsi="Arial" w:cs="Arial"/>
          <w:color w:val="626260"/>
          <w:lang w:eastAsia="fr-CA"/>
        </w:rPr>
      </w:pPr>
      <w:r w:rsidRPr="00140349">
        <w:rPr>
          <w:rFonts w:ascii="Arial" w:eastAsia="Times New Roman" w:hAnsi="Arial" w:cs="Arial"/>
          <w:color w:val="626260"/>
          <w:lang w:eastAsia="fr-CA"/>
        </w:rPr>
        <w:t>Le financement de l’acquisition : composition du prix total de l’acquisition, financement avec ou sans emprunt</w:t>
      </w:r>
    </w:p>
    <w:p w14:paraId="1866B0BB" w14:textId="77777777" w:rsidR="00603B79" w:rsidRPr="00140349" w:rsidRDefault="00603B79" w:rsidP="00603B79">
      <w:pPr>
        <w:numPr>
          <w:ilvl w:val="1"/>
          <w:numId w:val="6"/>
        </w:num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626260"/>
          <w:lang w:eastAsia="fr-CA"/>
        </w:rPr>
      </w:pPr>
      <w:r w:rsidRPr="00140349">
        <w:rPr>
          <w:rFonts w:ascii="Arial" w:eastAsia="Times New Roman" w:hAnsi="Arial" w:cs="Arial"/>
          <w:color w:val="626260"/>
          <w:lang w:eastAsia="fr-CA"/>
        </w:rPr>
        <w:t>Les conditions suspensives</w:t>
      </w:r>
    </w:p>
    <w:p w14:paraId="3696B8EC" w14:textId="77777777" w:rsidR="00603B79" w:rsidRPr="00140349" w:rsidRDefault="00603B79" w:rsidP="00603B79">
      <w:pPr>
        <w:numPr>
          <w:ilvl w:val="0"/>
          <w:numId w:val="6"/>
        </w:num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626260"/>
          <w:lang w:eastAsia="fr-CA"/>
        </w:rPr>
      </w:pPr>
      <w:r w:rsidRPr="00140349">
        <w:rPr>
          <w:rFonts w:ascii="Arial" w:eastAsia="Times New Roman" w:hAnsi="Arial" w:cs="Arial"/>
          <w:color w:val="626260"/>
          <w:lang w:eastAsia="fr-CA"/>
        </w:rPr>
        <w:t>Les particularités de la vente d’un lot en copropriété</w:t>
      </w:r>
    </w:p>
    <w:p w14:paraId="4F40F80C" w14:textId="77777777" w:rsidR="00603B79" w:rsidRPr="000B1272" w:rsidRDefault="00603B79" w:rsidP="00603B79">
      <w:pPr>
        <w:numPr>
          <w:ilvl w:val="0"/>
          <w:numId w:val="6"/>
        </w:num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626260"/>
          <w:lang w:eastAsia="fr-CA"/>
        </w:rPr>
      </w:pPr>
      <w:r w:rsidRPr="00140349">
        <w:rPr>
          <w:rFonts w:ascii="Arial" w:eastAsia="Times New Roman" w:hAnsi="Arial" w:cs="Arial"/>
          <w:color w:val="626260"/>
          <w:lang w:eastAsia="fr-CA"/>
        </w:rPr>
        <w:t>La notification de l’avant-contrat et le délai de rétractation depuis la loi Macron du 6 aout 2015</w:t>
      </w:r>
    </w:p>
    <w:p w14:paraId="0A78B4B0" w14:textId="77777777" w:rsidR="00603B79" w:rsidRPr="000B1272" w:rsidRDefault="00603B79" w:rsidP="00603B79">
      <w:pPr>
        <w:pStyle w:val="Paragraphedeliste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0B1272">
        <w:rPr>
          <w:rFonts w:ascii="Arial" w:hAnsi="Arial" w:cs="Arial"/>
        </w:rPr>
        <w:t>La répartition des charges et des travaux de copropriété entre le vendeur et l’acquéreur</w:t>
      </w:r>
    </w:p>
    <w:p w14:paraId="53B86C9F" w14:textId="77777777" w:rsidR="00603B79" w:rsidRPr="000B1272" w:rsidRDefault="00603B79" w:rsidP="00603B79">
      <w:pPr>
        <w:shd w:val="clear" w:color="auto" w:fill="FEFEFE"/>
        <w:spacing w:after="0" w:line="240" w:lineRule="auto"/>
        <w:ind w:left="360"/>
        <w:jc w:val="both"/>
        <w:rPr>
          <w:rFonts w:ascii="Arial" w:eastAsia="Times New Roman" w:hAnsi="Arial" w:cs="Arial"/>
          <w:color w:val="626260"/>
          <w:lang w:eastAsia="fr-CA"/>
        </w:rPr>
      </w:pPr>
    </w:p>
    <w:p w14:paraId="652C01CD" w14:textId="77777777" w:rsidR="00603B79" w:rsidRPr="000B1272" w:rsidRDefault="00603B79" w:rsidP="00603B79">
      <w:pPr>
        <w:pStyle w:val="Paragraphedeliste"/>
        <w:numPr>
          <w:ilvl w:val="2"/>
          <w:numId w:val="6"/>
        </w:numPr>
        <w:shd w:val="clear" w:color="auto" w:fill="FEFEFE"/>
        <w:spacing w:before="100" w:beforeAutospacing="1" w:after="0" w:line="240" w:lineRule="auto"/>
        <w:ind w:left="426"/>
        <w:jc w:val="both"/>
        <w:rPr>
          <w:rFonts w:ascii="Arial" w:eastAsia="Times New Roman" w:hAnsi="Arial" w:cs="Arial"/>
          <w:b/>
          <w:bCs/>
          <w:color w:val="626260"/>
          <w:lang w:eastAsia="fr-CA"/>
        </w:rPr>
      </w:pPr>
      <w:r w:rsidRPr="000B1272">
        <w:rPr>
          <w:rFonts w:ascii="Arial" w:eastAsia="Times New Roman" w:hAnsi="Arial" w:cs="Arial"/>
          <w:b/>
          <w:bCs/>
          <w:color w:val="626260"/>
          <w:lang w:eastAsia="fr-CA"/>
        </w:rPr>
        <w:t>Étude des contentieux en matière de validité des mandats et responsabilité de l’agent immobilier</w:t>
      </w:r>
    </w:p>
    <w:p w14:paraId="644E00D8" w14:textId="77777777" w:rsidR="00603B79" w:rsidRPr="000B1272" w:rsidRDefault="00603B79" w:rsidP="00603B79">
      <w:pPr>
        <w:rPr>
          <w:rFonts w:ascii="Arial" w:hAnsi="Arial" w:cs="Arial"/>
          <w:b/>
          <w:bCs/>
        </w:rPr>
      </w:pPr>
    </w:p>
    <w:p w14:paraId="1F834379" w14:textId="77777777" w:rsidR="00603B79" w:rsidRPr="000B1272" w:rsidRDefault="00603B79" w:rsidP="00603B79">
      <w:pPr>
        <w:spacing w:after="0"/>
        <w:ind w:firstLine="567"/>
        <w:jc w:val="center"/>
        <w:rPr>
          <w:rFonts w:ascii="Arial" w:hAnsi="Arial" w:cs="Arial"/>
          <w:b/>
          <w:bCs/>
          <w:u w:val="double"/>
        </w:rPr>
      </w:pPr>
      <w:r w:rsidRPr="000B1272">
        <w:rPr>
          <w:rFonts w:ascii="Arial" w:hAnsi="Arial" w:cs="Arial"/>
          <w:b/>
          <w:bCs/>
          <w:u w:val="double"/>
        </w:rPr>
        <w:t>METHODOLOGIE</w:t>
      </w:r>
    </w:p>
    <w:p w14:paraId="09C04D1B" w14:textId="77777777" w:rsidR="00603B79" w:rsidRPr="000B1272" w:rsidRDefault="00603B79" w:rsidP="00603B79">
      <w:pPr>
        <w:shd w:val="clear" w:color="auto" w:fill="FEFEFE"/>
        <w:spacing w:after="0" w:line="240" w:lineRule="auto"/>
        <w:ind w:left="1440"/>
        <w:jc w:val="both"/>
        <w:rPr>
          <w:rFonts w:ascii="Arial" w:eastAsia="Times New Roman" w:hAnsi="Arial" w:cs="Arial"/>
          <w:b/>
          <w:bCs/>
          <w:color w:val="626260"/>
          <w:u w:val="single"/>
          <w:lang w:eastAsia="fr-CA"/>
        </w:rPr>
      </w:pPr>
      <w:r w:rsidRPr="000B1272">
        <w:rPr>
          <w:rFonts w:ascii="Arial" w:eastAsia="Times New Roman" w:hAnsi="Arial" w:cs="Arial"/>
          <w:b/>
          <w:bCs/>
          <w:color w:val="626260"/>
          <w:u w:val="single"/>
          <w:lang w:eastAsia="fr-CA"/>
        </w:rPr>
        <w:t>Les moyens pédagogiques, techniques et d’encadrement ;</w:t>
      </w:r>
    </w:p>
    <w:p w14:paraId="315AB79C" w14:textId="77777777" w:rsidR="00603B79" w:rsidRPr="000B1272" w:rsidRDefault="00603B79" w:rsidP="00603B79">
      <w:pPr>
        <w:numPr>
          <w:ilvl w:val="1"/>
          <w:numId w:val="6"/>
        </w:num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626260"/>
          <w:lang w:eastAsia="fr-CA"/>
        </w:rPr>
      </w:pPr>
      <w:r w:rsidRPr="000B1272">
        <w:rPr>
          <w:rFonts w:ascii="Arial" w:eastAsia="Times New Roman" w:hAnsi="Arial" w:cs="Arial"/>
          <w:color w:val="626260"/>
          <w:lang w:eastAsia="fr-CA"/>
        </w:rPr>
        <w:t xml:space="preserve">Analyse et utilisation des IMPRIMES - et des annexes </w:t>
      </w:r>
    </w:p>
    <w:p w14:paraId="0042BB5C" w14:textId="77777777" w:rsidR="00603B79" w:rsidRPr="000B1272" w:rsidRDefault="00603B79" w:rsidP="00603B79">
      <w:pPr>
        <w:numPr>
          <w:ilvl w:val="1"/>
          <w:numId w:val="6"/>
        </w:num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626260"/>
          <w:lang w:eastAsia="fr-CA"/>
        </w:rPr>
      </w:pPr>
      <w:r w:rsidRPr="000B1272">
        <w:rPr>
          <w:rFonts w:ascii="Arial" w:eastAsia="Times New Roman" w:hAnsi="Arial" w:cs="Arial"/>
          <w:color w:val="626260"/>
          <w:lang w:eastAsia="fr-CA"/>
        </w:rPr>
        <w:t>Jurisprudences récentes et exemples concrets – cas pratiques –</w:t>
      </w:r>
    </w:p>
    <w:p w14:paraId="1B1A6A2D" w14:textId="77777777" w:rsidR="00603B79" w:rsidRPr="000B1272" w:rsidRDefault="00603B79" w:rsidP="00603B79">
      <w:pPr>
        <w:shd w:val="clear" w:color="auto" w:fill="FEFEFE"/>
        <w:spacing w:after="0" w:line="240" w:lineRule="auto"/>
        <w:ind w:left="1440"/>
        <w:jc w:val="both"/>
        <w:rPr>
          <w:rFonts w:ascii="Arial" w:eastAsia="Times New Roman" w:hAnsi="Arial" w:cs="Arial"/>
          <w:b/>
          <w:bCs/>
          <w:color w:val="626260"/>
          <w:u w:val="single"/>
          <w:lang w:eastAsia="fr-CA"/>
        </w:rPr>
      </w:pPr>
      <w:r w:rsidRPr="000B1272">
        <w:rPr>
          <w:rFonts w:ascii="Arial" w:eastAsia="Times New Roman" w:hAnsi="Arial" w:cs="Arial"/>
          <w:b/>
          <w:bCs/>
          <w:color w:val="626260"/>
          <w:u w:val="single"/>
          <w:lang w:eastAsia="fr-CA"/>
        </w:rPr>
        <w:t>Évaluations orales des participants</w:t>
      </w:r>
    </w:p>
    <w:p w14:paraId="5F680B33" w14:textId="77777777" w:rsidR="00603B79" w:rsidRPr="000B1272" w:rsidRDefault="00603B79" w:rsidP="00603B79">
      <w:pPr>
        <w:shd w:val="clear" w:color="auto" w:fill="FEFEFE"/>
        <w:spacing w:after="0" w:line="240" w:lineRule="auto"/>
        <w:ind w:left="1440"/>
        <w:jc w:val="both"/>
        <w:rPr>
          <w:rFonts w:ascii="Arial" w:eastAsia="Times New Roman" w:hAnsi="Arial" w:cs="Arial"/>
          <w:b/>
          <w:bCs/>
          <w:color w:val="626260"/>
          <w:u w:val="single"/>
          <w:lang w:eastAsia="fr-CA"/>
        </w:rPr>
      </w:pPr>
      <w:r w:rsidRPr="000B1272">
        <w:rPr>
          <w:rFonts w:ascii="Arial" w:eastAsia="Times New Roman" w:hAnsi="Arial" w:cs="Arial"/>
          <w:b/>
          <w:bCs/>
          <w:color w:val="626260"/>
          <w:u w:val="single"/>
          <w:lang w:eastAsia="fr-CA"/>
        </w:rPr>
        <w:t xml:space="preserve">Vérification du respect des obligations légales </w:t>
      </w:r>
    </w:p>
    <w:p w14:paraId="35829D5D" w14:textId="77777777" w:rsidR="00603B79" w:rsidRPr="000B1272" w:rsidRDefault="00603B79" w:rsidP="00603B79">
      <w:pPr>
        <w:shd w:val="clear" w:color="auto" w:fill="FEFEFE"/>
        <w:spacing w:after="0" w:line="240" w:lineRule="auto"/>
        <w:ind w:left="1440"/>
        <w:jc w:val="both"/>
        <w:rPr>
          <w:rFonts w:ascii="Arial" w:eastAsia="Times New Roman" w:hAnsi="Arial" w:cs="Arial"/>
          <w:color w:val="626260"/>
          <w:lang w:eastAsia="fr-CA"/>
        </w:rPr>
      </w:pPr>
    </w:p>
    <w:p w14:paraId="6EDBB998" w14:textId="77777777" w:rsidR="00603B79" w:rsidRPr="000B1272" w:rsidRDefault="00603B79" w:rsidP="00603B79">
      <w:pPr>
        <w:numPr>
          <w:ilvl w:val="1"/>
          <w:numId w:val="6"/>
        </w:num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626260"/>
          <w:lang w:eastAsia="fr-CA"/>
        </w:rPr>
      </w:pPr>
      <w:r w:rsidRPr="000B1272">
        <w:rPr>
          <w:rFonts w:ascii="Arial" w:eastAsia="Times New Roman" w:hAnsi="Arial" w:cs="Arial"/>
          <w:color w:val="626260"/>
          <w:lang w:eastAsia="fr-CA"/>
        </w:rPr>
        <w:t>Les modalités de suivi de l’exécution du programme et d'appréciation des résultats</w:t>
      </w:r>
    </w:p>
    <w:p w14:paraId="7E6C00FD" w14:textId="77777777" w:rsidR="00603B79" w:rsidRPr="000B1272" w:rsidRDefault="00603B79" w:rsidP="00603B79">
      <w:pPr>
        <w:numPr>
          <w:ilvl w:val="1"/>
          <w:numId w:val="6"/>
        </w:num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626260"/>
          <w:lang w:eastAsia="fr-CA"/>
        </w:rPr>
      </w:pPr>
      <w:r w:rsidRPr="000B1272">
        <w:rPr>
          <w:rFonts w:ascii="Arial" w:eastAsia="Times New Roman" w:hAnsi="Arial" w:cs="Arial"/>
          <w:color w:val="626260"/>
          <w:lang w:eastAsia="fr-CA"/>
        </w:rPr>
        <w:t xml:space="preserve">Signatures des feuilles de présence </w:t>
      </w:r>
    </w:p>
    <w:p w14:paraId="106EE505" w14:textId="77777777" w:rsidR="00603B79" w:rsidRPr="000B1272" w:rsidRDefault="00603B79" w:rsidP="00603B79">
      <w:pPr>
        <w:numPr>
          <w:ilvl w:val="1"/>
          <w:numId w:val="6"/>
        </w:num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626260"/>
          <w:lang w:eastAsia="fr-CA"/>
        </w:rPr>
      </w:pPr>
      <w:r w:rsidRPr="000B1272">
        <w:rPr>
          <w:rFonts w:ascii="Arial" w:eastAsia="Times New Roman" w:hAnsi="Arial" w:cs="Arial"/>
          <w:color w:val="626260"/>
          <w:lang w:eastAsia="fr-CA"/>
        </w:rPr>
        <w:t xml:space="preserve">Évaluation de la formation au moyen de la feuille d’évaluation et notation </w:t>
      </w:r>
    </w:p>
    <w:p w14:paraId="0954B514" w14:textId="77777777" w:rsidR="00603B79" w:rsidRPr="000B1272" w:rsidRDefault="00603B79" w:rsidP="00603B79">
      <w:pPr>
        <w:numPr>
          <w:ilvl w:val="1"/>
          <w:numId w:val="6"/>
        </w:numPr>
        <w:shd w:val="clear" w:color="auto" w:fill="FEFEFE"/>
        <w:spacing w:after="0" w:line="240" w:lineRule="auto"/>
        <w:jc w:val="both"/>
        <w:rPr>
          <w:rFonts w:ascii="Arial" w:eastAsia="Times New Roman" w:hAnsi="Arial" w:cs="Arial"/>
          <w:color w:val="626260"/>
          <w:lang w:eastAsia="fr-CA"/>
        </w:rPr>
      </w:pPr>
      <w:r w:rsidRPr="000B1272">
        <w:rPr>
          <w:rFonts w:ascii="Arial" w:eastAsia="Times New Roman" w:hAnsi="Arial" w:cs="Arial"/>
          <w:color w:val="626260"/>
          <w:lang w:eastAsia="fr-CA"/>
        </w:rPr>
        <w:t>Signatures des attestations de formation</w:t>
      </w:r>
    </w:p>
    <w:p w14:paraId="11B385F4" w14:textId="77777777" w:rsidR="00603B79" w:rsidRPr="000B1272" w:rsidRDefault="00603B79" w:rsidP="00603B79">
      <w:pPr>
        <w:rPr>
          <w:rFonts w:ascii="Arial" w:hAnsi="Arial" w:cs="Arial"/>
        </w:rPr>
      </w:pPr>
    </w:p>
    <w:p w14:paraId="2F269245" w14:textId="77777777" w:rsidR="00603B79" w:rsidRPr="000B1272" w:rsidRDefault="00603B79" w:rsidP="00603B79">
      <w:pPr>
        <w:shd w:val="clear" w:color="auto" w:fill="FEFEFE"/>
        <w:spacing w:before="100" w:beforeAutospacing="1" w:after="0" w:line="240" w:lineRule="auto"/>
        <w:rPr>
          <w:rFonts w:ascii="Arial" w:eastAsia="Times New Roman" w:hAnsi="Arial" w:cs="Arial"/>
          <w:b/>
          <w:bCs/>
          <w:color w:val="626260"/>
          <w:lang w:eastAsia="fr-CA"/>
        </w:rPr>
      </w:pPr>
    </w:p>
    <w:p w14:paraId="75C6367B" w14:textId="77777777" w:rsidR="00603B79" w:rsidRDefault="00603B79" w:rsidP="00603B79">
      <w:pPr>
        <w:rPr>
          <w:rFonts w:ascii="Arial" w:hAnsi="Arial" w:cs="Arial"/>
        </w:rPr>
      </w:pPr>
    </w:p>
    <w:p w14:paraId="50250F95" w14:textId="77777777" w:rsidR="00603B79" w:rsidRDefault="00603B79" w:rsidP="00603B79">
      <w:pPr>
        <w:rPr>
          <w:rFonts w:ascii="Arial" w:hAnsi="Arial" w:cs="Arial"/>
        </w:rPr>
      </w:pPr>
    </w:p>
    <w:p w14:paraId="38D3AD8F" w14:textId="77777777" w:rsidR="00603B79" w:rsidRDefault="00603B79" w:rsidP="00603B79">
      <w:pPr>
        <w:rPr>
          <w:rFonts w:ascii="Arial" w:hAnsi="Arial" w:cs="Arial"/>
        </w:rPr>
      </w:pPr>
    </w:p>
    <w:p w14:paraId="2BB6060A" w14:textId="77777777" w:rsidR="00603B79" w:rsidRDefault="00603B79" w:rsidP="00603B79">
      <w:pPr>
        <w:rPr>
          <w:rFonts w:ascii="Arial" w:hAnsi="Arial" w:cs="Arial"/>
        </w:rPr>
      </w:pPr>
    </w:p>
    <w:p w14:paraId="0112853A" w14:textId="77777777" w:rsidR="00603B79" w:rsidRDefault="00603B79" w:rsidP="00603B79">
      <w:pPr>
        <w:rPr>
          <w:rFonts w:ascii="Arial" w:hAnsi="Arial" w:cs="Arial"/>
        </w:rPr>
      </w:pPr>
    </w:p>
    <w:sectPr w:rsidR="00603B79" w:rsidSect="00603B79">
      <w:headerReference w:type="default" r:id="rId7"/>
      <w:footerReference w:type="default" r:id="rId8"/>
      <w:pgSz w:w="12240" w:h="15840"/>
      <w:pgMar w:top="709" w:right="758" w:bottom="709" w:left="1134" w:header="75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D264A" w14:textId="77777777" w:rsidR="004D79C6" w:rsidRDefault="004D79C6">
      <w:pPr>
        <w:spacing w:after="0" w:line="240" w:lineRule="auto"/>
      </w:pPr>
      <w:r>
        <w:separator/>
      </w:r>
    </w:p>
  </w:endnote>
  <w:endnote w:type="continuationSeparator" w:id="0">
    <w:p w14:paraId="133D35C8" w14:textId="77777777" w:rsidR="004D79C6" w:rsidRDefault="004D79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atang Western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617A1" w14:textId="77777777" w:rsidR="00A53C6B" w:rsidRPr="004563D2" w:rsidRDefault="00730E6A" w:rsidP="00866416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  <w:lang w:eastAsia="fr-FR"/>
      </w:rPr>
    </w:pPr>
    <w:r w:rsidRPr="004563D2">
      <w:rPr>
        <w:rFonts w:ascii="Times New Roman" w:hAnsi="Times New Roman" w:cs="Times New Roman"/>
        <w:sz w:val="16"/>
        <w:szCs w:val="16"/>
        <w:u w:val="single"/>
        <w:lang w:eastAsia="fr-FR"/>
      </w:rPr>
      <w:t xml:space="preserve">RCS </w:t>
    </w:r>
    <w:r>
      <w:rPr>
        <w:rFonts w:ascii="Times New Roman" w:hAnsi="Times New Roman" w:cs="Times New Roman"/>
        <w:b/>
        <w:sz w:val="16"/>
        <w:szCs w:val="16"/>
        <w:u w:val="single"/>
        <w:lang w:eastAsia="fr-FR"/>
      </w:rPr>
      <w:t>NICE</w:t>
    </w:r>
    <w:r w:rsidRPr="004563D2">
      <w:rPr>
        <w:rFonts w:ascii="Times New Roman" w:hAnsi="Times New Roman" w:cs="Times New Roman"/>
        <w:b/>
        <w:sz w:val="16"/>
        <w:szCs w:val="16"/>
        <w:u w:val="single"/>
        <w:lang w:eastAsia="fr-FR"/>
      </w:rPr>
      <w:t xml:space="preserve">  </w:t>
    </w:r>
    <w:r w:rsidRPr="00866416">
      <w:rPr>
        <w:rFonts w:ascii="Times New Roman" w:hAnsi="Times New Roman" w:cs="Times New Roman"/>
        <w:b/>
        <w:sz w:val="16"/>
        <w:szCs w:val="16"/>
        <w:u w:val="single"/>
        <w:lang w:eastAsia="fr-FR"/>
      </w:rPr>
      <w:t>925 002 990</w:t>
    </w:r>
  </w:p>
  <w:p w14:paraId="34B529CC" w14:textId="0509D723" w:rsidR="00A53C6B" w:rsidRPr="004563D2" w:rsidRDefault="00730E6A" w:rsidP="008A73F8">
    <w:pPr>
      <w:tabs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  <w:lang w:eastAsia="fr-FR"/>
      </w:rPr>
    </w:pPr>
    <w:r w:rsidRPr="004563D2">
      <w:rPr>
        <w:rFonts w:ascii="Times New Roman" w:hAnsi="Times New Roman" w:cs="Times New Roman"/>
        <w:sz w:val="16"/>
        <w:szCs w:val="16"/>
        <w:u w:val="single"/>
        <w:lang w:eastAsia="fr-FR"/>
      </w:rPr>
      <w:t>Déclaration d’activité enregistrée sous le numéro :</w:t>
    </w:r>
    <w:r w:rsidR="008A73F8" w:rsidRPr="008A73F8">
      <w:rPr>
        <w:rFonts w:ascii="Times New Roman" w:hAnsi="Times New Roman" w:cs="Times New Roman"/>
        <w:sz w:val="16"/>
        <w:szCs w:val="16"/>
        <w:u w:val="single"/>
        <w:lang w:eastAsia="fr-FR"/>
      </w:rPr>
      <w:t xml:space="preserve"> : </w:t>
    </w:r>
    <w:r w:rsidR="008A73F8" w:rsidRPr="008A73F8">
      <w:rPr>
        <w:rFonts w:ascii="Times New Roman" w:hAnsi="Times New Roman" w:cs="Times New Roman"/>
        <w:sz w:val="16"/>
        <w:szCs w:val="16"/>
        <w:u w:val="single"/>
        <w:lang w:eastAsia="fr-FR"/>
      </w:rPr>
      <w:tab/>
      <w:t xml:space="preserve">93061116506 </w:t>
    </w:r>
    <w:r w:rsidRPr="004563D2">
      <w:rPr>
        <w:rFonts w:ascii="Times New Roman" w:hAnsi="Times New Roman" w:cs="Times New Roman"/>
        <w:sz w:val="16"/>
        <w:szCs w:val="16"/>
        <w:u w:val="single"/>
        <w:lang w:eastAsia="fr-FR"/>
      </w:rPr>
      <w:t>auprès du préfet de la région Provence Alpes Côte d’Azur</w:t>
    </w:r>
  </w:p>
  <w:p w14:paraId="25113454" w14:textId="77777777" w:rsidR="00A53C6B" w:rsidRDefault="00A53C6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08C66" w14:textId="77777777" w:rsidR="004D79C6" w:rsidRDefault="004D79C6">
      <w:pPr>
        <w:spacing w:after="0" w:line="240" w:lineRule="auto"/>
      </w:pPr>
      <w:r>
        <w:separator/>
      </w:r>
    </w:p>
  </w:footnote>
  <w:footnote w:type="continuationSeparator" w:id="0">
    <w:p w14:paraId="671F6AEE" w14:textId="77777777" w:rsidR="004D79C6" w:rsidRDefault="004D79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DF493B" w14:textId="71A7CD4D" w:rsidR="00A53C6B" w:rsidRPr="00866416" w:rsidRDefault="00730E6A" w:rsidP="004563D2">
    <w:pPr>
      <w:tabs>
        <w:tab w:val="center" w:pos="4536"/>
        <w:tab w:val="right" w:pos="9072"/>
      </w:tabs>
      <w:spacing w:after="0" w:line="240" w:lineRule="auto"/>
      <w:rPr>
        <w:rFonts w:ascii="Aharoni" w:hAnsi="Aharoni" w:cs="Aharoni"/>
        <w:noProof/>
        <w:sz w:val="44"/>
        <w:szCs w:val="44"/>
        <w:lang w:eastAsia="fr-FR" w:bidi="he-IL"/>
      </w:rPr>
    </w:pPr>
    <w:r>
      <w:rPr>
        <w:rFonts w:ascii="Aharoni" w:hAnsi="Aharoni" w:cs="Aharoni"/>
        <w:noProof/>
        <w:sz w:val="44"/>
        <w:szCs w:val="44"/>
        <w:lang w:eastAsia="fr-FR" w:bidi="he-IL"/>
      </w:rPr>
      <w:t xml:space="preserve">SARL </w:t>
    </w:r>
    <w:r w:rsidRPr="00866416">
      <w:rPr>
        <w:rFonts w:ascii="Aharoni" w:hAnsi="Aharoni" w:cs="Aharoni" w:hint="cs"/>
        <w:noProof/>
        <w:sz w:val="44"/>
        <w:szCs w:val="44"/>
        <w:lang w:eastAsia="fr-FR" w:bidi="he-IL"/>
      </w:rPr>
      <w:t>ALLURE</w:t>
    </w:r>
    <w:r w:rsidRPr="00866416">
      <w:rPr>
        <w:rFonts w:ascii="Aharoni" w:hAnsi="Aharoni" w:cs="Aharoni" w:hint="cs"/>
        <w:noProof/>
        <w:sz w:val="44"/>
        <w:szCs w:val="44"/>
        <w:lang w:eastAsia="fr-FR" w:bidi="he-IL"/>
      </w:rPr>
      <w:tab/>
    </w:r>
    <w:r w:rsidRPr="00866416">
      <w:rPr>
        <w:rFonts w:ascii="Aharoni" w:hAnsi="Aharoni" w:cs="Aharoni" w:hint="cs"/>
        <w:noProof/>
        <w:sz w:val="44"/>
        <w:szCs w:val="44"/>
        <w:lang w:eastAsia="fr-FR" w:bidi="he-IL"/>
      </w:rPr>
      <w:tab/>
      <w:t xml:space="preserve"> </w:t>
    </w:r>
  </w:p>
  <w:p w14:paraId="63095EE2" w14:textId="77777777" w:rsidR="00A53C6B" w:rsidRPr="00866416" w:rsidRDefault="00730E6A" w:rsidP="00866416">
    <w:pPr>
      <w:tabs>
        <w:tab w:val="center" w:pos="4536"/>
        <w:tab w:val="right" w:pos="9072"/>
      </w:tabs>
      <w:spacing w:after="0" w:line="240" w:lineRule="auto"/>
      <w:rPr>
        <w:rFonts w:asciiTheme="majorBidi" w:hAnsiTheme="majorBidi" w:cstheme="majorBidi"/>
        <w:noProof/>
        <w:lang w:eastAsia="fr-FR" w:bidi="he-IL"/>
      </w:rPr>
    </w:pPr>
    <w:r w:rsidRPr="00866416">
      <w:rPr>
        <w:rFonts w:asciiTheme="majorBidi" w:hAnsiTheme="majorBidi" w:cstheme="majorBidi"/>
        <w:noProof/>
        <w:lang w:eastAsia="fr-FR" w:bidi="he-IL"/>
      </w:rPr>
      <w:t>2 PLACE MAGENTA, 06000 NICE</w:t>
    </w:r>
  </w:p>
  <w:p w14:paraId="7989E714" w14:textId="77777777" w:rsidR="00A53C6B" w:rsidRPr="00E743B9" w:rsidRDefault="00730E6A" w:rsidP="004563D2">
    <w:pPr>
      <w:tabs>
        <w:tab w:val="center" w:pos="4536"/>
        <w:tab w:val="right" w:pos="9072"/>
      </w:tabs>
      <w:spacing w:after="0" w:line="240" w:lineRule="auto"/>
      <w:rPr>
        <w:rFonts w:ascii="Batang" w:eastAsia="Batang" w:hAnsi="Batang" w:cs="Times New Roman"/>
        <w:sz w:val="20"/>
        <w:szCs w:val="20"/>
        <w:lang w:eastAsia="fr-FR"/>
      </w:rPr>
    </w:pPr>
    <w:r w:rsidRPr="00E743B9">
      <w:rPr>
        <w:rFonts w:ascii="Batang Western" w:eastAsia="Batang" w:hAnsi="Batang Western" w:cs="Times New Roman"/>
        <w:sz w:val="20"/>
        <w:szCs w:val="20"/>
        <w:lang w:eastAsia="fr-FR"/>
      </w:rPr>
      <w:t xml:space="preserve">Directrice : </w:t>
    </w:r>
    <w:r w:rsidRPr="004563D2">
      <w:rPr>
        <w:rFonts w:ascii="Batang Western" w:eastAsia="Batang" w:hAnsi="Batang Western" w:cs="Times New Roman"/>
        <w:b/>
        <w:bCs/>
        <w:sz w:val="18"/>
        <w:szCs w:val="18"/>
        <w:lang w:eastAsia="fr-FR"/>
      </w:rPr>
      <w:t xml:space="preserve">Corinne </w:t>
    </w:r>
    <w:r>
      <w:rPr>
        <w:rFonts w:ascii="Batang Western" w:eastAsia="Batang" w:hAnsi="Batang Western" w:cs="Times New Roman"/>
        <w:b/>
        <w:bCs/>
        <w:sz w:val="18"/>
        <w:szCs w:val="18"/>
        <w:lang w:eastAsia="fr-FR"/>
      </w:rPr>
      <w:t xml:space="preserve">DJIAN </w:t>
    </w:r>
    <w:r w:rsidRPr="004563D2">
      <w:rPr>
        <w:rFonts w:ascii="Batang Western" w:eastAsia="Batang" w:hAnsi="Batang Western" w:cs="Times New Roman"/>
        <w:b/>
        <w:bCs/>
        <w:sz w:val="18"/>
        <w:szCs w:val="18"/>
        <w:lang w:eastAsia="fr-FR"/>
      </w:rPr>
      <w:t>EL MALEK</w:t>
    </w:r>
  </w:p>
  <w:p w14:paraId="3A72E872" w14:textId="77777777" w:rsidR="00A53C6B" w:rsidRPr="004563D2" w:rsidRDefault="00730E6A" w:rsidP="004563D2">
    <w:pPr>
      <w:tabs>
        <w:tab w:val="center" w:pos="4536"/>
        <w:tab w:val="right" w:pos="9072"/>
      </w:tabs>
      <w:spacing w:after="0" w:line="240" w:lineRule="auto"/>
      <w:rPr>
        <w:rFonts w:ascii="Batang" w:eastAsia="Batang" w:hAnsi="Batang" w:cs="Times New Roman"/>
        <w:b/>
        <w:sz w:val="16"/>
        <w:szCs w:val="16"/>
        <w:lang w:eastAsia="fr-FR"/>
      </w:rPr>
    </w:pPr>
    <w:r w:rsidRPr="004563D2">
      <w:rPr>
        <w:rFonts w:ascii="Batang" w:eastAsia="Batang" w:hAnsi="Batang" w:cs="Times New Roman"/>
        <w:b/>
        <w:sz w:val="16"/>
        <w:szCs w:val="16"/>
        <w:lang w:eastAsia="fr-FR"/>
      </w:rPr>
      <w:t xml:space="preserve">Tel 06 76 51 29 32 </w:t>
    </w:r>
  </w:p>
  <w:p w14:paraId="654C32C1" w14:textId="77777777" w:rsidR="00A53C6B" w:rsidRDefault="00A53C6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A3769"/>
    <w:multiLevelType w:val="multilevel"/>
    <w:tmpl w:val="A680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5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6A4BE5"/>
    <w:multiLevelType w:val="multilevel"/>
    <w:tmpl w:val="BCB4D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154C26"/>
    <w:multiLevelType w:val="hybridMultilevel"/>
    <w:tmpl w:val="396C354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221453"/>
    <w:multiLevelType w:val="multilevel"/>
    <w:tmpl w:val="E5AED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1730A66"/>
    <w:multiLevelType w:val="multilevel"/>
    <w:tmpl w:val="424CF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A031D9"/>
    <w:multiLevelType w:val="multilevel"/>
    <w:tmpl w:val="FBF44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D57C9F"/>
    <w:multiLevelType w:val="multilevel"/>
    <w:tmpl w:val="81D8D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497277"/>
    <w:multiLevelType w:val="hybridMultilevel"/>
    <w:tmpl w:val="170C802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2F7557"/>
    <w:multiLevelType w:val="hybridMultilevel"/>
    <w:tmpl w:val="43DA906C"/>
    <w:lvl w:ilvl="0" w:tplc="1582979E">
      <w:start w:val="1"/>
      <w:numFmt w:val="bullet"/>
      <w:lvlText w:val=""/>
      <w:lvlJc w:val="left"/>
      <w:pPr>
        <w:ind w:left="502" w:hanging="360"/>
      </w:pPr>
      <w:rPr>
        <w:rFonts w:ascii="Wingdings" w:hAnsi="Wingdings" w:cs="Wingdings" w:hint="default"/>
        <w:color w:val="FF0000"/>
      </w:rPr>
    </w:lvl>
    <w:lvl w:ilvl="1" w:tplc="040C0003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96" w:hanging="360"/>
      </w:pPr>
      <w:rPr>
        <w:rFonts w:ascii="Wingdings" w:hAnsi="Wingdings" w:cs="Wingdings" w:hint="default"/>
      </w:rPr>
    </w:lvl>
    <w:lvl w:ilvl="3" w:tplc="040C0001">
      <w:start w:val="1"/>
      <w:numFmt w:val="bullet"/>
      <w:lvlText w:val=""/>
      <w:lvlJc w:val="left"/>
      <w:pPr>
        <w:ind w:left="3316" w:hanging="360"/>
      </w:pPr>
      <w:rPr>
        <w:rFonts w:ascii="Symbol" w:hAnsi="Symbol" w:cs="Symbol" w:hint="default"/>
      </w:rPr>
    </w:lvl>
    <w:lvl w:ilvl="4" w:tplc="040C0003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756" w:hanging="360"/>
      </w:pPr>
      <w:rPr>
        <w:rFonts w:ascii="Wingdings" w:hAnsi="Wingdings" w:cs="Wingdings" w:hint="default"/>
      </w:rPr>
    </w:lvl>
    <w:lvl w:ilvl="6" w:tplc="040C0001">
      <w:start w:val="1"/>
      <w:numFmt w:val="bullet"/>
      <w:lvlText w:val=""/>
      <w:lvlJc w:val="left"/>
      <w:pPr>
        <w:ind w:left="5476" w:hanging="360"/>
      </w:pPr>
      <w:rPr>
        <w:rFonts w:ascii="Symbol" w:hAnsi="Symbol" w:cs="Symbol" w:hint="default"/>
      </w:rPr>
    </w:lvl>
    <w:lvl w:ilvl="7" w:tplc="040C0003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916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48D3C4F"/>
    <w:multiLevelType w:val="multilevel"/>
    <w:tmpl w:val="D2B05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2A5ABD"/>
    <w:multiLevelType w:val="hybridMultilevel"/>
    <w:tmpl w:val="AAEA6710"/>
    <w:lvl w:ilvl="0" w:tplc="0C0C000F">
      <w:start w:val="1"/>
      <w:numFmt w:val="decimal"/>
      <w:lvlText w:val="%1."/>
      <w:lvlJc w:val="left"/>
      <w:pPr>
        <w:ind w:left="1440" w:hanging="360"/>
      </w:pPr>
    </w:lvl>
    <w:lvl w:ilvl="1" w:tplc="0C0C0019" w:tentative="1">
      <w:start w:val="1"/>
      <w:numFmt w:val="lowerLetter"/>
      <w:lvlText w:val="%2."/>
      <w:lvlJc w:val="left"/>
      <w:pPr>
        <w:ind w:left="2160" w:hanging="360"/>
      </w:pPr>
    </w:lvl>
    <w:lvl w:ilvl="2" w:tplc="0C0C001B" w:tentative="1">
      <w:start w:val="1"/>
      <w:numFmt w:val="lowerRoman"/>
      <w:lvlText w:val="%3."/>
      <w:lvlJc w:val="right"/>
      <w:pPr>
        <w:ind w:left="2880" w:hanging="180"/>
      </w:pPr>
    </w:lvl>
    <w:lvl w:ilvl="3" w:tplc="0C0C000F" w:tentative="1">
      <w:start w:val="1"/>
      <w:numFmt w:val="decimal"/>
      <w:lvlText w:val="%4."/>
      <w:lvlJc w:val="left"/>
      <w:pPr>
        <w:ind w:left="3600" w:hanging="360"/>
      </w:pPr>
    </w:lvl>
    <w:lvl w:ilvl="4" w:tplc="0C0C0019" w:tentative="1">
      <w:start w:val="1"/>
      <w:numFmt w:val="lowerLetter"/>
      <w:lvlText w:val="%5."/>
      <w:lvlJc w:val="left"/>
      <w:pPr>
        <w:ind w:left="4320" w:hanging="360"/>
      </w:pPr>
    </w:lvl>
    <w:lvl w:ilvl="5" w:tplc="0C0C001B" w:tentative="1">
      <w:start w:val="1"/>
      <w:numFmt w:val="lowerRoman"/>
      <w:lvlText w:val="%6."/>
      <w:lvlJc w:val="right"/>
      <w:pPr>
        <w:ind w:left="5040" w:hanging="180"/>
      </w:pPr>
    </w:lvl>
    <w:lvl w:ilvl="6" w:tplc="0C0C000F" w:tentative="1">
      <w:start w:val="1"/>
      <w:numFmt w:val="decimal"/>
      <w:lvlText w:val="%7."/>
      <w:lvlJc w:val="left"/>
      <w:pPr>
        <w:ind w:left="5760" w:hanging="360"/>
      </w:pPr>
    </w:lvl>
    <w:lvl w:ilvl="7" w:tplc="0C0C0019" w:tentative="1">
      <w:start w:val="1"/>
      <w:numFmt w:val="lowerLetter"/>
      <w:lvlText w:val="%8."/>
      <w:lvlJc w:val="left"/>
      <w:pPr>
        <w:ind w:left="6480" w:hanging="360"/>
      </w:pPr>
    </w:lvl>
    <w:lvl w:ilvl="8" w:tplc="0C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0F36FB0"/>
    <w:multiLevelType w:val="hybridMultilevel"/>
    <w:tmpl w:val="04186B24"/>
    <w:lvl w:ilvl="0" w:tplc="CFD4808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8623CC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C1251FA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A58E77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48C4F5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FA6A05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DB8FC0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AC0E3E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8CCC8D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791090564">
    <w:abstractNumId w:val="8"/>
  </w:num>
  <w:num w:numId="2" w16cid:durableId="1286960265">
    <w:abstractNumId w:val="11"/>
  </w:num>
  <w:num w:numId="3" w16cid:durableId="336543687">
    <w:abstractNumId w:val="6"/>
  </w:num>
  <w:num w:numId="4" w16cid:durableId="1803114753">
    <w:abstractNumId w:val="5"/>
  </w:num>
  <w:num w:numId="5" w16cid:durableId="471869608">
    <w:abstractNumId w:val="4"/>
  </w:num>
  <w:num w:numId="6" w16cid:durableId="2051690044">
    <w:abstractNumId w:val="0"/>
  </w:num>
  <w:num w:numId="7" w16cid:durableId="629433746">
    <w:abstractNumId w:val="9"/>
  </w:num>
  <w:num w:numId="8" w16cid:durableId="2081170948">
    <w:abstractNumId w:val="10"/>
  </w:num>
  <w:num w:numId="9" w16cid:durableId="783304037">
    <w:abstractNumId w:val="1"/>
  </w:num>
  <w:num w:numId="10" w16cid:durableId="660542919">
    <w:abstractNumId w:val="3"/>
  </w:num>
  <w:num w:numId="11" w16cid:durableId="1160848871">
    <w:abstractNumId w:val="2"/>
  </w:num>
  <w:num w:numId="12" w16cid:durableId="9170543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B79"/>
    <w:rsid w:val="00092415"/>
    <w:rsid w:val="001A664B"/>
    <w:rsid w:val="00326B64"/>
    <w:rsid w:val="00421985"/>
    <w:rsid w:val="004374D2"/>
    <w:rsid w:val="004D79C6"/>
    <w:rsid w:val="00547F27"/>
    <w:rsid w:val="005D181E"/>
    <w:rsid w:val="00603B79"/>
    <w:rsid w:val="00730E6A"/>
    <w:rsid w:val="007B044E"/>
    <w:rsid w:val="008A73F8"/>
    <w:rsid w:val="00A5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2F8CA"/>
  <w15:chartTrackingRefBased/>
  <w15:docId w15:val="{386CA1E7-96D8-4D34-85C3-F9A1C18CE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B79"/>
    <w:rPr>
      <w:kern w:val="0"/>
      <w:lang w:val="fr-CA" w:bidi="ar-SA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603B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03B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03B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03B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03B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03B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03B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03B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03B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03B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03B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03B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03B7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03B7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03B7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03B7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03B7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03B7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03B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03B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03B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03B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03B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03B7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03B7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03B7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03B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03B7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03B79"/>
    <w:rPr>
      <w:b/>
      <w:bCs/>
      <w:smallCaps/>
      <w:color w:val="0F4761" w:themeColor="accent1" w:themeShade="BF"/>
      <w:spacing w:val="5"/>
    </w:rPr>
  </w:style>
  <w:style w:type="character" w:styleId="Accentuation">
    <w:name w:val="Emphasis"/>
    <w:basedOn w:val="Policepardfaut"/>
    <w:uiPriority w:val="20"/>
    <w:qFormat/>
    <w:rsid w:val="00603B79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603B7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03B79"/>
    <w:rPr>
      <w:kern w:val="0"/>
      <w:lang w:val="fr-CA" w:bidi="ar-SA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603B7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03B79"/>
    <w:rPr>
      <w:kern w:val="0"/>
      <w:lang w:val="fr-CA" w:bidi="ar-SA"/>
      <w14:ligatures w14:val="none"/>
    </w:rPr>
  </w:style>
  <w:style w:type="paragraph" w:styleId="NormalWeb">
    <w:name w:val="Normal (Web)"/>
    <w:basedOn w:val="Normal"/>
    <w:uiPriority w:val="99"/>
    <w:unhideWhenUsed/>
    <w:rsid w:val="00603B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495</Words>
  <Characters>2724</Characters>
  <Application>Microsoft Office Word</Application>
  <DocSecurity>0</DocSecurity>
  <Lines>22</Lines>
  <Paragraphs>6</Paragraphs>
  <ScaleCrop>false</ScaleCrop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 MALEK Corinne</dc:creator>
  <cp:keywords/>
  <dc:description/>
  <cp:lastModifiedBy>EL MALEK Corinne</cp:lastModifiedBy>
  <cp:revision>4</cp:revision>
  <cp:lastPrinted>2026-03-17T10:10:00Z</cp:lastPrinted>
  <dcterms:created xsi:type="dcterms:W3CDTF">2025-06-17T05:49:00Z</dcterms:created>
  <dcterms:modified xsi:type="dcterms:W3CDTF">2026-04-01T09:47:00Z</dcterms:modified>
</cp:coreProperties>
</file>